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4B7494" w:rsidRPr="00391D49" w:rsidTr="00FA5FDB">
        <w:trPr>
          <w:trHeight w:val="1268"/>
        </w:trPr>
        <w:tc>
          <w:tcPr>
            <w:tcW w:w="1534" w:type="dxa"/>
          </w:tcPr>
          <w:p w:rsidR="004B7494" w:rsidRPr="00391D49" w:rsidRDefault="004B7494" w:rsidP="009315AC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Hlk57990345"/>
            <w:bookmarkStart w:id="1" w:name="_GoBack"/>
            <w:bookmarkEnd w:id="1"/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:rsidR="00696F04" w:rsidRPr="00391D49" w:rsidRDefault="00E57704" w:rsidP="009315AC">
            <w:pPr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KoklearImplant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Sistemi, ileri/çok ileri düzeyde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sensörinöral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işitme kaybı olan ve işitme cihazından yarar görmeyenler için, iç kulağa yerleştirilen elektrotların elektriksel uyarımı yolu ile işitmenin yeniden kazandırılması için tasarlanmış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4B7494" w:rsidRPr="00391D49" w:rsidTr="00D776F0">
        <w:trPr>
          <w:trHeight w:val="1704"/>
        </w:trPr>
        <w:tc>
          <w:tcPr>
            <w:tcW w:w="1534" w:type="dxa"/>
          </w:tcPr>
          <w:p w:rsidR="004B7494" w:rsidRPr="00391D49" w:rsidRDefault="004B7494" w:rsidP="009315AC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391D49" w:rsidRDefault="004B7494" w:rsidP="009315AC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687E44" w:rsidRPr="00391D49" w:rsidRDefault="00687E44" w:rsidP="009315AC">
            <w:pPr>
              <w:pStyle w:val="ListeParagraf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Sistem iki alt sistemden oluşmalıdır:</w:t>
            </w:r>
          </w:p>
          <w:p w:rsidR="00687E44" w:rsidRPr="00391D49" w:rsidRDefault="00687E44" w:rsidP="009315AC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-Aktif Vücuda Yerleştirilebilir elektronik iç parça,</w:t>
            </w:r>
          </w:p>
          <w:p w:rsidR="00FA5FDB" w:rsidRPr="00391D49" w:rsidRDefault="00687E44" w:rsidP="009315AC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sz w:val="24"/>
                <w:szCs w:val="24"/>
              </w:rPr>
              <w:t>-Ortam seslerini toplayan ve iç parçaya aktaracak şekilde işlemden geçiren ve aktaran dış parça</w:t>
            </w:r>
          </w:p>
        </w:tc>
      </w:tr>
      <w:tr w:rsidR="00661374" w:rsidRPr="00391D49" w:rsidTr="00D776F0">
        <w:trPr>
          <w:trHeight w:val="1704"/>
        </w:trPr>
        <w:tc>
          <w:tcPr>
            <w:tcW w:w="1534" w:type="dxa"/>
          </w:tcPr>
          <w:p w:rsidR="00661374" w:rsidRPr="00391D49" w:rsidRDefault="00661374" w:rsidP="009315AC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:rsidR="00661374" w:rsidRPr="00391D49" w:rsidRDefault="00661374" w:rsidP="009315AC">
            <w:pPr>
              <w:pStyle w:val="ListeParagraf"/>
              <w:numPr>
                <w:ilvl w:val="0"/>
                <w:numId w:val="19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>İÇ PARÇA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İç parça ameliyatta takılan alıcı elektroniklerin bulunduğu alıcı/uyarıcı plak ve işitme sistemi içindeki sinir hücrelerinin elektriksel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uyarımını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sağlayan aktif ve/veya toprak elektrot dizininden oluşmalıdır.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İmplantın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elektroniklerini içeren kısmı darbelere dayanıklı titanyumdan üretilmiş muhafaza içinde olmalı, bunun çevresi yanında kabloların izolasyonu ve muhafazasında tıbbi silikon kullanılmış olmalıdır. Ayrıca aktif ve referans elektrot seçimi yapılabilmelidir.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Koklea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içine yerleştirilen elektrot dizini 12-22 arası aktif elektrottan oluşan çok kanallı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="00504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34746" w:rsidRPr="00434746" w:rsidRDefault="00434746" w:rsidP="00434746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4746">
              <w:rPr>
                <w:rFonts w:ascii="Times New Roman" w:hAnsi="Times New Roman" w:cs="Times New Roman"/>
                <w:sz w:val="24"/>
                <w:szCs w:val="24"/>
              </w:rPr>
              <w:t xml:space="preserve">Elektrot dizini </w:t>
            </w:r>
            <w:proofErr w:type="spellStart"/>
            <w:r w:rsidRPr="00434746">
              <w:rPr>
                <w:rFonts w:ascii="Times New Roman" w:hAnsi="Times New Roman" w:cs="Times New Roman"/>
                <w:sz w:val="24"/>
                <w:szCs w:val="24"/>
              </w:rPr>
              <w:t>koklea</w:t>
            </w:r>
            <w:proofErr w:type="spellEnd"/>
            <w:r w:rsidRPr="00434746">
              <w:rPr>
                <w:rFonts w:ascii="Times New Roman" w:hAnsi="Times New Roman" w:cs="Times New Roman"/>
                <w:sz w:val="24"/>
                <w:szCs w:val="24"/>
              </w:rPr>
              <w:t xml:space="preserve"> içinde travma yaratmayacak incelikte </w:t>
            </w:r>
            <w:proofErr w:type="spellStart"/>
            <w:r w:rsidRPr="00434746">
              <w:rPr>
                <w:rFonts w:ascii="Times New Roman" w:hAnsi="Times New Roman" w:cs="Times New Roman"/>
                <w:sz w:val="24"/>
                <w:szCs w:val="24"/>
              </w:rPr>
              <w:t>perimodioler</w:t>
            </w:r>
            <w:proofErr w:type="spellEnd"/>
            <w:r w:rsidRPr="00434746">
              <w:rPr>
                <w:rFonts w:ascii="Times New Roman" w:hAnsi="Times New Roman" w:cs="Times New Roman"/>
                <w:sz w:val="24"/>
                <w:szCs w:val="24"/>
              </w:rPr>
              <w:t xml:space="preserve"> (tekrarlı kullanım </w:t>
            </w:r>
            <w:proofErr w:type="gramStart"/>
            <w:r w:rsidRPr="00434746">
              <w:rPr>
                <w:rFonts w:ascii="Times New Roman" w:hAnsi="Times New Roman" w:cs="Times New Roman"/>
                <w:sz w:val="24"/>
                <w:szCs w:val="24"/>
              </w:rPr>
              <w:t>imkanı</w:t>
            </w:r>
            <w:proofErr w:type="gramEnd"/>
            <w:r w:rsidRPr="00434746">
              <w:rPr>
                <w:rFonts w:ascii="Times New Roman" w:hAnsi="Times New Roman" w:cs="Times New Roman"/>
                <w:sz w:val="24"/>
                <w:szCs w:val="24"/>
              </w:rPr>
              <w:t xml:space="preserve"> olan veya olmayan) veya düz </w:t>
            </w:r>
            <w:proofErr w:type="spellStart"/>
            <w:r w:rsidRPr="00434746">
              <w:rPr>
                <w:rFonts w:ascii="Times New Roman" w:hAnsi="Times New Roman" w:cs="Times New Roman"/>
                <w:sz w:val="24"/>
                <w:szCs w:val="24"/>
              </w:rPr>
              <w:t>elektrod</w:t>
            </w:r>
            <w:proofErr w:type="spellEnd"/>
            <w:r w:rsidRPr="00434746">
              <w:rPr>
                <w:rFonts w:ascii="Times New Roman" w:hAnsi="Times New Roman" w:cs="Times New Roman"/>
                <w:sz w:val="24"/>
                <w:szCs w:val="24"/>
              </w:rPr>
              <w:t xml:space="preserve"> dizaynında olmalıdır. Tedarikçi tarafından elektrot yerleştirilmesi için gerekli aparat sağlanmalıdır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İç parçanın elektroniği dış parçadan gelen sinyaller ile işitme sistemini uyarabilmelidir.</w:t>
            </w:r>
          </w:p>
          <w:p w:rsidR="00661374" w:rsidRDefault="00661374" w:rsidP="009315AC">
            <w:pPr>
              <w:pStyle w:val="ListeParagraf"/>
              <w:numPr>
                <w:ilvl w:val="0"/>
                <w:numId w:val="4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İç parça, ameliyat bitiminde cihazın işleyişini ve fonksiyonlarını kontrol edebilmek için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impedans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stapes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refleks testi ve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evoked</w:t>
            </w:r>
            <w:proofErr w:type="spellEnd"/>
            <w:r w:rsidR="007C1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Compound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Action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Potential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eCAP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) gibi testlerin yapılabilmesine olanak sağlamalı ve bu testlerin yapılabilmesi için gerekli yazılım programları ücretsiz olarak sağlanmalıdır.</w:t>
            </w:r>
          </w:p>
          <w:p w:rsidR="007C1FA0" w:rsidRPr="00661374" w:rsidRDefault="007C1FA0" w:rsidP="009315AC">
            <w:pPr>
              <w:pStyle w:val="ListeParagraf"/>
              <w:numPr>
                <w:ilvl w:val="0"/>
                <w:numId w:val="42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İç parçanın elemanları, 1.5Tesla şiddete kadar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mıktanısı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yerinde, 3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şiddetine kadar sadece mıknatıs </w:t>
            </w:r>
            <w:proofErr w:type="gram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çıkarılarak </w:t>
            </w:r>
            <w:r w:rsidR="00DA2B4F"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proofErr w:type="gramEnd"/>
            <w:r w:rsidR="00DA2B4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DA2B4F">
              <w:rPr>
                <w:rFonts w:ascii="Times New Roman" w:hAnsi="Times New Roman" w:cs="Times New Roman"/>
                <w:sz w:val="24"/>
                <w:szCs w:val="24"/>
              </w:rPr>
              <w:t>Tesla</w:t>
            </w:r>
            <w:proofErr w:type="spellEnd"/>
            <w:r w:rsidR="00DA2B4F">
              <w:rPr>
                <w:rFonts w:ascii="Times New Roman" w:hAnsi="Times New Roman" w:cs="Times New Roman"/>
                <w:sz w:val="24"/>
                <w:szCs w:val="24"/>
              </w:rPr>
              <w:t xml:space="preserve"> şiddetine kadar mıknatıs çıkartılmadan </w:t>
            </w: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Manyetik Rezonans Görüntüleme (MRG) tanı cihazlarına uyumlu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 özellik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hastaya verilecek şekilde </w:t>
            </w:r>
            <w:r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belgelendirilmelidir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687E44" w:rsidRPr="00391D49" w:rsidTr="00D776F0">
        <w:trPr>
          <w:trHeight w:val="1704"/>
        </w:trPr>
        <w:tc>
          <w:tcPr>
            <w:tcW w:w="1534" w:type="dxa"/>
          </w:tcPr>
          <w:p w:rsidR="00687E44" w:rsidRPr="00391D49" w:rsidRDefault="00687E44" w:rsidP="009315AC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Teknik Özellikleri:</w:t>
            </w:r>
          </w:p>
        </w:tc>
        <w:tc>
          <w:tcPr>
            <w:tcW w:w="8290" w:type="dxa"/>
            <w:shd w:val="clear" w:color="auto" w:fill="auto"/>
          </w:tcPr>
          <w:p w:rsidR="00661374" w:rsidRPr="00391D49" w:rsidRDefault="00661374" w:rsidP="009315AC">
            <w:pPr>
              <w:pStyle w:val="ListeParagraf"/>
              <w:numPr>
                <w:ilvl w:val="0"/>
                <w:numId w:val="4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>DIŞ PARÇA, KONUŞMA İŞLEMCİSİ VE AKSESUARLAR:</w:t>
            </w:r>
          </w:p>
          <w:p w:rsidR="00661374" w:rsidRDefault="00661374" w:rsidP="009315AC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="00B54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Sisteminin ameliyattan bir müddet sonra aktif hale getirilen ve kullanıcıya göre ayarlamaları yapılan dış parçası; konuşma işlemcisi, konuşma işlemcisi ile vücuda yerleştirilen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implant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arasındaki veri ve enerji iletişimini sağlayan aktarıcı sistem ve aşağıda belirtilen çeşitli aksesuarlardan oluşmalıdır.</w:t>
            </w:r>
          </w:p>
          <w:p w:rsidR="00661374" w:rsidRPr="00391D49" w:rsidRDefault="00661374" w:rsidP="009315AC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sz w:val="24"/>
                <w:szCs w:val="24"/>
              </w:rPr>
              <w:t>A. KONUŞMA İŞLEMCİSİ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Dış parça konuşma işlemcisinde; iç parça ile iletişimi sağlayan aktarıcı plak, bağlantı kablosu ve aksesuarlardan oluşan kulak arkası konuşma işlemcisi (BTE) bulunmalıdır.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Otomatik olarak ortam tarayıp, otomatik program geçiş özelliği bulunmalıdır.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Çift yönlü mikrofon sistemi olmalıdır.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Kullanım bilgi kaydı yapabilen günlük hangi işitsel ortamlarda bulunduğu, hangi programları kullandığını içeren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datalogging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sistemi bulunmalıdır.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Aktarıcı sisteme sinyal iletimini sağlayan kablonun, konuşma işlemcisine bağlantı noktasında özel soket veya kilit mekanizması bulunmalıdır.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Hastaya teslim edilen set içerisinde konuşma işlemcisinin hassasiyet, ses ayarı,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telecoil</w:t>
            </w:r>
            <w:proofErr w:type="spellEnd"/>
            <w:r w:rsidR="00D81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moduna</w:t>
            </w:r>
            <w:proofErr w:type="spellEnd"/>
            <w:r w:rsidRPr="00E57704">
              <w:rPr>
                <w:rFonts w:ascii="Times New Roman" w:hAnsi="Times New Roman" w:cs="Times New Roman"/>
                <w:sz w:val="24"/>
                <w:szCs w:val="24"/>
              </w:rPr>
              <w:t xml:space="preserve"> geçiş gibi tüm ayarları uzaktan kumanda ile yapıl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abilmelidir.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Konuşma işlemcisi, ayar programlarına bağlanabilecek ve içindeki bilgileri aktaracak şekilde tasarlanmış olmalıdır.</w:t>
            </w:r>
          </w:p>
          <w:p w:rsidR="00DA2B4F" w:rsidRDefault="00DA2B4F" w:rsidP="009315AC">
            <w:pPr>
              <w:pStyle w:val="ListeParagraf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B4F">
              <w:rPr>
                <w:rFonts w:ascii="Times New Roman" w:hAnsi="Times New Roman" w:cs="Times New Roman"/>
                <w:sz w:val="24"/>
                <w:szCs w:val="24"/>
              </w:rPr>
              <w:t>Konuşma işlemcisi Wireless bağlantı, Bluetooth aktarımı gibi yöntemler ile veya aktarıcı olmadan doğrudan mikrofon, mobil telefon, PC gibi diğer cihazlara bağlanabilmelidir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2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374" w:rsidRPr="00E57704" w:rsidRDefault="00661374" w:rsidP="009315AC">
            <w:pPr>
              <w:pStyle w:val="ListeParagraf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FM sistemlerinin bağlanabileceği pil yuvasının Konuşma İşlemcisi aksesuar kiti içinde bulunması gerekmektedir.</w:t>
            </w:r>
          </w:p>
          <w:p w:rsidR="00661374" w:rsidRPr="00DA2B4F" w:rsidRDefault="00661374" w:rsidP="009315AC">
            <w:pPr>
              <w:pStyle w:val="ListeParagraf"/>
              <w:numPr>
                <w:ilvl w:val="0"/>
                <w:numId w:val="4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04">
              <w:rPr>
                <w:rFonts w:ascii="Times New Roman" w:hAnsi="Times New Roman" w:cs="Times New Roman"/>
                <w:sz w:val="24"/>
                <w:szCs w:val="24"/>
              </w:rPr>
              <w:t>Kulak arkası (BTE) konuşma işlemcisi, çift mikrofonlu olmalı ve suya dayanıklılık seviyesi IP54 veya IP44 veya IP57 olmalıdır.</w:t>
            </w:r>
          </w:p>
          <w:p w:rsidR="00DA2B4F" w:rsidRPr="00A80999" w:rsidRDefault="00DA2B4F" w:rsidP="00A80999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E44" w:rsidRPr="00661374" w:rsidRDefault="00687E44" w:rsidP="009315AC">
            <w:pPr>
              <w:spacing w:before="120" w:after="12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374" w:rsidRPr="00391D49" w:rsidTr="00D776F0">
        <w:trPr>
          <w:trHeight w:val="1704"/>
        </w:trPr>
        <w:tc>
          <w:tcPr>
            <w:tcW w:w="1534" w:type="dxa"/>
          </w:tcPr>
          <w:p w:rsidR="00661374" w:rsidRPr="00391D49" w:rsidRDefault="00661374" w:rsidP="009315AC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661374" w:rsidRPr="00391D49" w:rsidRDefault="00661374" w:rsidP="009315AC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661374" w:rsidRPr="00445EB5" w:rsidRDefault="00661374" w:rsidP="009315AC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B. AKTARICI SİSTEM </w:t>
            </w:r>
          </w:p>
          <w:p w:rsidR="00661374" w:rsidRPr="00E92388" w:rsidRDefault="00661374" w:rsidP="009315AC">
            <w:pPr>
              <w:pStyle w:val="ListeParagraf"/>
              <w:numPr>
                <w:ilvl w:val="0"/>
                <w:numId w:val="4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88">
              <w:rPr>
                <w:rFonts w:ascii="Times New Roman" w:hAnsi="Times New Roman" w:cs="Times New Roman"/>
                <w:sz w:val="24"/>
                <w:szCs w:val="24"/>
              </w:rPr>
              <w:t xml:space="preserve">Aktarıcı sistem manyetik alan yaratarak, bir iç parça elemanı olan </w:t>
            </w:r>
            <w:proofErr w:type="spellStart"/>
            <w:r w:rsidRPr="00E92388">
              <w:rPr>
                <w:rFonts w:ascii="Times New Roman" w:hAnsi="Times New Roman" w:cs="Times New Roman"/>
                <w:sz w:val="24"/>
                <w:szCs w:val="24"/>
              </w:rPr>
              <w:t>implanta</w:t>
            </w:r>
            <w:proofErr w:type="spellEnd"/>
            <w:r w:rsidRPr="00E92388">
              <w:rPr>
                <w:rFonts w:ascii="Times New Roman" w:hAnsi="Times New Roman" w:cs="Times New Roman"/>
                <w:sz w:val="24"/>
                <w:szCs w:val="24"/>
              </w:rPr>
              <w:t xml:space="preserve"> sinyal ve enerji aktaracak şekilde tasarlanmalıdır.</w:t>
            </w:r>
          </w:p>
          <w:p w:rsidR="00661374" w:rsidRPr="00E92388" w:rsidRDefault="00661374" w:rsidP="009315AC">
            <w:pPr>
              <w:pStyle w:val="ListeParagraf"/>
              <w:numPr>
                <w:ilvl w:val="0"/>
                <w:numId w:val="4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88">
              <w:rPr>
                <w:rFonts w:ascii="Times New Roman" w:hAnsi="Times New Roman" w:cs="Times New Roman"/>
                <w:sz w:val="24"/>
                <w:szCs w:val="24"/>
              </w:rPr>
              <w:t xml:space="preserve">Aktarıcı sistem </w:t>
            </w:r>
            <w:proofErr w:type="spellStart"/>
            <w:r w:rsidRPr="00E92388">
              <w:rPr>
                <w:rFonts w:ascii="Times New Roman" w:hAnsi="Times New Roman" w:cs="Times New Roman"/>
                <w:sz w:val="24"/>
                <w:szCs w:val="24"/>
              </w:rPr>
              <w:t>implanta</w:t>
            </w:r>
            <w:proofErr w:type="spellEnd"/>
            <w:r w:rsidRPr="00E92388">
              <w:rPr>
                <w:rFonts w:ascii="Times New Roman" w:hAnsi="Times New Roman" w:cs="Times New Roman"/>
                <w:sz w:val="24"/>
                <w:szCs w:val="24"/>
              </w:rPr>
              <w:t xml:space="preserve"> manyetik bir çekimle tutturulmalıdır.</w:t>
            </w:r>
          </w:p>
          <w:p w:rsidR="00661374" w:rsidRPr="00E57704" w:rsidRDefault="00661374" w:rsidP="009315AC">
            <w:pPr>
              <w:pStyle w:val="ListeParagraf"/>
              <w:tabs>
                <w:tab w:val="left" w:pos="102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388">
              <w:rPr>
                <w:rFonts w:ascii="Times New Roman" w:hAnsi="Times New Roman" w:cs="Times New Roman"/>
                <w:sz w:val="24"/>
                <w:szCs w:val="24"/>
              </w:rPr>
              <w:t>Ameliyat sonrasında ortaya çıkan yapısal kısıtlamalara göre aktarıcı sistemin gücü ayarlanabilmelidir.</w:t>
            </w:r>
          </w:p>
        </w:tc>
      </w:tr>
      <w:tr w:rsidR="00661374" w:rsidRPr="00391D49" w:rsidTr="00FA5FDB">
        <w:trPr>
          <w:trHeight w:val="1539"/>
        </w:trPr>
        <w:tc>
          <w:tcPr>
            <w:tcW w:w="1534" w:type="dxa"/>
          </w:tcPr>
          <w:p w:rsidR="00661374" w:rsidRPr="00391D49" w:rsidRDefault="00661374" w:rsidP="009315AC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661374" w:rsidRPr="00391D49" w:rsidRDefault="00661374" w:rsidP="009315AC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:rsidR="00661374" w:rsidRPr="00E92388" w:rsidRDefault="00661374" w:rsidP="009315AC">
            <w:pPr>
              <w:pStyle w:val="ListeParagraf"/>
              <w:numPr>
                <w:ilvl w:val="0"/>
                <w:numId w:val="48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388">
              <w:rPr>
                <w:rFonts w:ascii="Times New Roman" w:hAnsi="Times New Roman" w:cs="Times New Roman"/>
                <w:sz w:val="24"/>
                <w:szCs w:val="24"/>
              </w:rPr>
              <w:t>Koklear</w:t>
            </w:r>
            <w:proofErr w:type="spellEnd"/>
            <w:r w:rsidR="00B54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2388">
              <w:rPr>
                <w:rFonts w:ascii="Times New Roman" w:hAnsi="Times New Roman" w:cs="Times New Roman"/>
                <w:sz w:val="24"/>
                <w:szCs w:val="24"/>
              </w:rPr>
              <w:t>implantın</w:t>
            </w:r>
            <w:proofErr w:type="spellEnd"/>
            <w:r w:rsidRPr="00E92388">
              <w:rPr>
                <w:rFonts w:ascii="Times New Roman" w:hAnsi="Times New Roman" w:cs="Times New Roman"/>
                <w:sz w:val="24"/>
                <w:szCs w:val="24"/>
              </w:rPr>
              <w:t xml:space="preserve"> iç parçası steril, korumalı paket içinde, kutulu bir şekilde gönderilmelidir. Kutunun üzerinde ürün kodu, seri numarası, üretim ve son kullanma tarihleri belirtilmelidir.</w:t>
            </w:r>
          </w:p>
          <w:p w:rsidR="00661374" w:rsidRPr="00E92388" w:rsidRDefault="00661374" w:rsidP="009315AC">
            <w:pPr>
              <w:pStyle w:val="ListeParagraf"/>
              <w:spacing w:before="120" w:after="12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331203" w:rsidRPr="009315AC" w:rsidRDefault="00331203" w:rsidP="009315A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15AC" w:rsidSect="007A16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7EE" w:rsidRDefault="007B67EE" w:rsidP="00B2517C">
      <w:pPr>
        <w:spacing w:after="0" w:line="240" w:lineRule="auto"/>
      </w:pPr>
      <w:r>
        <w:separator/>
      </w:r>
    </w:p>
  </w:endnote>
  <w:endnote w:type="continuationSeparator" w:id="0">
    <w:p w:rsidR="007B67EE" w:rsidRDefault="007B67EE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4141469"/>
      <w:docPartObj>
        <w:docPartGallery w:val="Page Numbers (Bottom of Page)"/>
        <w:docPartUnique/>
      </w:docPartObj>
    </w:sdtPr>
    <w:sdtEndPr/>
    <w:sdtContent>
      <w:p w:rsidR="00E92388" w:rsidRDefault="00577143">
        <w:pPr>
          <w:pStyle w:val="AltBilgi"/>
          <w:jc w:val="center"/>
        </w:pPr>
        <w:r>
          <w:fldChar w:fldCharType="begin"/>
        </w:r>
        <w:r w:rsidR="00E92388">
          <w:instrText>PAGE   \* MERGEFORMAT</w:instrText>
        </w:r>
        <w:r>
          <w:fldChar w:fldCharType="separate"/>
        </w:r>
        <w:r w:rsidR="009315AC">
          <w:rPr>
            <w:noProof/>
          </w:rPr>
          <w:t>1</w:t>
        </w:r>
        <w:r>
          <w:fldChar w:fldCharType="end"/>
        </w:r>
      </w:p>
    </w:sdtContent>
  </w:sdt>
  <w:p w:rsidR="00E92388" w:rsidRDefault="00E923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7EE" w:rsidRDefault="007B67EE" w:rsidP="00B2517C">
      <w:pPr>
        <w:spacing w:after="0" w:line="240" w:lineRule="auto"/>
      </w:pPr>
      <w:r>
        <w:separator/>
      </w:r>
    </w:p>
  </w:footnote>
  <w:footnote w:type="continuationSeparator" w:id="0">
    <w:p w:rsidR="007B67EE" w:rsidRDefault="007B67EE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17C" w:rsidRPr="00E57704" w:rsidRDefault="00E57704" w:rsidP="00E57704">
    <w:pPr>
      <w:pStyle w:val="stBilgi"/>
    </w:pPr>
    <w:r w:rsidRPr="00E57704">
      <w:rPr>
        <w:rFonts w:ascii="Times New Roman" w:eastAsia="Times New Roman" w:hAnsi="Times New Roman" w:cs="Times New Roman"/>
        <w:b/>
        <w:sz w:val="24"/>
        <w:szCs w:val="24"/>
        <w:u w:val="single"/>
        <w:lang w:eastAsia="tr-TR"/>
      </w:rPr>
      <w:t>SMT1003-KOKLEAR İMPLANT SİSTEMİ, KULAK ARKASI, KABLOLU, ORTAM TARAMALI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5A11"/>
    <w:multiLevelType w:val="hybridMultilevel"/>
    <w:tmpl w:val="FC420DD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B72B40"/>
    <w:multiLevelType w:val="hybridMultilevel"/>
    <w:tmpl w:val="DACE9B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572FB"/>
    <w:multiLevelType w:val="hybridMultilevel"/>
    <w:tmpl w:val="D420809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01E7"/>
    <w:multiLevelType w:val="hybridMultilevel"/>
    <w:tmpl w:val="A06AA48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06DE4"/>
    <w:multiLevelType w:val="hybridMultilevel"/>
    <w:tmpl w:val="3A8215D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02ED5"/>
    <w:multiLevelType w:val="hybridMultilevel"/>
    <w:tmpl w:val="93F8FDB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3EA02AE"/>
    <w:multiLevelType w:val="hybridMultilevel"/>
    <w:tmpl w:val="462A27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C1D12"/>
    <w:multiLevelType w:val="hybridMultilevel"/>
    <w:tmpl w:val="E1724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B079D"/>
    <w:multiLevelType w:val="hybridMultilevel"/>
    <w:tmpl w:val="614C006A"/>
    <w:lvl w:ilvl="0" w:tplc="F1B66B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56BC6"/>
    <w:multiLevelType w:val="hybridMultilevel"/>
    <w:tmpl w:val="8E6EB890"/>
    <w:lvl w:ilvl="0" w:tplc="A9A0F44C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81E74"/>
    <w:multiLevelType w:val="hybridMultilevel"/>
    <w:tmpl w:val="0BD4424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E9727F"/>
    <w:multiLevelType w:val="hybridMultilevel"/>
    <w:tmpl w:val="9FFCF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DD23EB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265EF2"/>
    <w:multiLevelType w:val="hybridMultilevel"/>
    <w:tmpl w:val="536A5BF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2542F"/>
    <w:multiLevelType w:val="hybridMultilevel"/>
    <w:tmpl w:val="03423CAE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B81710"/>
    <w:multiLevelType w:val="hybridMultilevel"/>
    <w:tmpl w:val="EB687D36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5A73DD2"/>
    <w:multiLevelType w:val="hybridMultilevel"/>
    <w:tmpl w:val="EA7C261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E0F37"/>
    <w:multiLevelType w:val="hybridMultilevel"/>
    <w:tmpl w:val="B7D03426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EF0193"/>
    <w:multiLevelType w:val="hybridMultilevel"/>
    <w:tmpl w:val="E71000E4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05BA1"/>
    <w:multiLevelType w:val="hybridMultilevel"/>
    <w:tmpl w:val="E81C3C96"/>
    <w:lvl w:ilvl="0" w:tplc="542A509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3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C14F8"/>
    <w:multiLevelType w:val="hybridMultilevel"/>
    <w:tmpl w:val="35B0EB72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235B73"/>
    <w:multiLevelType w:val="hybridMultilevel"/>
    <w:tmpl w:val="4E6C1E0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2"/>
  </w:num>
  <w:num w:numId="6">
    <w:abstractNumId w:val="3"/>
  </w:num>
  <w:num w:numId="7">
    <w:abstractNumId w:val="37"/>
  </w:num>
  <w:num w:numId="8">
    <w:abstractNumId w:val="31"/>
  </w:num>
  <w:num w:numId="9">
    <w:abstractNumId w:val="46"/>
  </w:num>
  <w:num w:numId="10">
    <w:abstractNumId w:val="4"/>
  </w:num>
  <w:num w:numId="11">
    <w:abstractNumId w:val="12"/>
  </w:num>
  <w:num w:numId="12">
    <w:abstractNumId w:val="20"/>
  </w:num>
  <w:num w:numId="13">
    <w:abstractNumId w:val="34"/>
  </w:num>
  <w:num w:numId="14">
    <w:abstractNumId w:val="10"/>
  </w:num>
  <w:num w:numId="15">
    <w:abstractNumId w:val="47"/>
  </w:num>
  <w:num w:numId="16">
    <w:abstractNumId w:val="30"/>
  </w:num>
  <w:num w:numId="17">
    <w:abstractNumId w:val="39"/>
  </w:num>
  <w:num w:numId="18">
    <w:abstractNumId w:val="40"/>
  </w:num>
  <w:num w:numId="19">
    <w:abstractNumId w:val="6"/>
  </w:num>
  <w:num w:numId="20">
    <w:abstractNumId w:val="32"/>
  </w:num>
  <w:num w:numId="21">
    <w:abstractNumId w:val="18"/>
  </w:num>
  <w:num w:numId="22">
    <w:abstractNumId w:val="19"/>
  </w:num>
  <w:num w:numId="23">
    <w:abstractNumId w:val="33"/>
  </w:num>
  <w:num w:numId="24">
    <w:abstractNumId w:val="36"/>
  </w:num>
  <w:num w:numId="25">
    <w:abstractNumId w:val="8"/>
  </w:num>
  <w:num w:numId="26">
    <w:abstractNumId w:val="22"/>
  </w:num>
  <w:num w:numId="27">
    <w:abstractNumId w:val="25"/>
  </w:num>
  <w:num w:numId="28">
    <w:abstractNumId w:val="26"/>
  </w:num>
  <w:num w:numId="29">
    <w:abstractNumId w:val="14"/>
  </w:num>
  <w:num w:numId="30">
    <w:abstractNumId w:val="15"/>
  </w:num>
  <w:num w:numId="31">
    <w:abstractNumId w:val="24"/>
  </w:num>
  <w:num w:numId="32">
    <w:abstractNumId w:val="41"/>
  </w:num>
  <w:num w:numId="33">
    <w:abstractNumId w:val="38"/>
  </w:num>
  <w:num w:numId="34">
    <w:abstractNumId w:val="11"/>
  </w:num>
  <w:num w:numId="35">
    <w:abstractNumId w:val="5"/>
  </w:num>
  <w:num w:numId="36">
    <w:abstractNumId w:val="44"/>
  </w:num>
  <w:num w:numId="37">
    <w:abstractNumId w:val="35"/>
  </w:num>
  <w:num w:numId="38">
    <w:abstractNumId w:val="17"/>
  </w:num>
  <w:num w:numId="39">
    <w:abstractNumId w:val="0"/>
  </w:num>
  <w:num w:numId="40">
    <w:abstractNumId w:val="23"/>
  </w:num>
  <w:num w:numId="41">
    <w:abstractNumId w:val="21"/>
  </w:num>
  <w:num w:numId="42">
    <w:abstractNumId w:val="45"/>
  </w:num>
  <w:num w:numId="43">
    <w:abstractNumId w:val="28"/>
  </w:num>
  <w:num w:numId="44">
    <w:abstractNumId w:val="16"/>
  </w:num>
  <w:num w:numId="45">
    <w:abstractNumId w:val="1"/>
  </w:num>
  <w:num w:numId="46">
    <w:abstractNumId w:val="29"/>
  </w:num>
  <w:num w:numId="47">
    <w:abstractNumId w:val="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52ACD"/>
    <w:rsid w:val="00085C39"/>
    <w:rsid w:val="000D04A5"/>
    <w:rsid w:val="00104579"/>
    <w:rsid w:val="0011338D"/>
    <w:rsid w:val="00194192"/>
    <w:rsid w:val="00195FEB"/>
    <w:rsid w:val="001B3343"/>
    <w:rsid w:val="001B5780"/>
    <w:rsid w:val="002025C0"/>
    <w:rsid w:val="002618E3"/>
    <w:rsid w:val="002B66F4"/>
    <w:rsid w:val="002D7AC6"/>
    <w:rsid w:val="00331203"/>
    <w:rsid w:val="00380DE6"/>
    <w:rsid w:val="00391D49"/>
    <w:rsid w:val="003A496E"/>
    <w:rsid w:val="00400917"/>
    <w:rsid w:val="00434746"/>
    <w:rsid w:val="00445ABB"/>
    <w:rsid w:val="00445EB5"/>
    <w:rsid w:val="004B7494"/>
    <w:rsid w:val="004E2743"/>
    <w:rsid w:val="0050426A"/>
    <w:rsid w:val="005140F8"/>
    <w:rsid w:val="005225BC"/>
    <w:rsid w:val="00525195"/>
    <w:rsid w:val="00577143"/>
    <w:rsid w:val="005C0D2F"/>
    <w:rsid w:val="005E254C"/>
    <w:rsid w:val="005E60B0"/>
    <w:rsid w:val="0060330E"/>
    <w:rsid w:val="006044A3"/>
    <w:rsid w:val="00661374"/>
    <w:rsid w:val="00687E44"/>
    <w:rsid w:val="00696F04"/>
    <w:rsid w:val="00702D10"/>
    <w:rsid w:val="00747A9B"/>
    <w:rsid w:val="0079071B"/>
    <w:rsid w:val="007920EC"/>
    <w:rsid w:val="007A1668"/>
    <w:rsid w:val="007B67EE"/>
    <w:rsid w:val="007C1FA0"/>
    <w:rsid w:val="007D46FC"/>
    <w:rsid w:val="007F4454"/>
    <w:rsid w:val="00825136"/>
    <w:rsid w:val="00845026"/>
    <w:rsid w:val="00904E2A"/>
    <w:rsid w:val="009315AC"/>
    <w:rsid w:val="009354CB"/>
    <w:rsid w:val="00936492"/>
    <w:rsid w:val="0094557E"/>
    <w:rsid w:val="00963EDF"/>
    <w:rsid w:val="009B1CE7"/>
    <w:rsid w:val="009C0008"/>
    <w:rsid w:val="009C00CB"/>
    <w:rsid w:val="00A0594E"/>
    <w:rsid w:val="00A76582"/>
    <w:rsid w:val="00A80999"/>
    <w:rsid w:val="00AD6EFF"/>
    <w:rsid w:val="00B2517C"/>
    <w:rsid w:val="00B430D0"/>
    <w:rsid w:val="00B51A9D"/>
    <w:rsid w:val="00B54EF3"/>
    <w:rsid w:val="00B721B1"/>
    <w:rsid w:val="00B76AF3"/>
    <w:rsid w:val="00BA3150"/>
    <w:rsid w:val="00BD5BED"/>
    <w:rsid w:val="00BD6076"/>
    <w:rsid w:val="00BF4EE4"/>
    <w:rsid w:val="00BF5AAE"/>
    <w:rsid w:val="00C60CF3"/>
    <w:rsid w:val="00C66B09"/>
    <w:rsid w:val="00CA1D09"/>
    <w:rsid w:val="00CC2809"/>
    <w:rsid w:val="00D21078"/>
    <w:rsid w:val="00D62A57"/>
    <w:rsid w:val="00D776F0"/>
    <w:rsid w:val="00D815B3"/>
    <w:rsid w:val="00DA2B4F"/>
    <w:rsid w:val="00DD003A"/>
    <w:rsid w:val="00DE3FAB"/>
    <w:rsid w:val="00E30912"/>
    <w:rsid w:val="00E50641"/>
    <w:rsid w:val="00E57704"/>
    <w:rsid w:val="00E92388"/>
    <w:rsid w:val="00EA5468"/>
    <w:rsid w:val="00EA7E69"/>
    <w:rsid w:val="00ED3775"/>
    <w:rsid w:val="00FA5FDB"/>
    <w:rsid w:val="00FA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26DE411-2678-4294-9AE0-4AE33C6B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668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6ECF-E1AA-491D-8F24-80F0CBCC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Mesut YETER</cp:lastModifiedBy>
  <cp:revision>2</cp:revision>
  <dcterms:created xsi:type="dcterms:W3CDTF">2024-08-22T10:44:00Z</dcterms:created>
  <dcterms:modified xsi:type="dcterms:W3CDTF">2024-08-22T10:44:00Z</dcterms:modified>
</cp:coreProperties>
</file>