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011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E548F7" w14:paraId="01EAD632" w14:textId="77777777" w:rsidTr="00E548F7">
        <w:trPr>
          <w:trHeight w:val="708"/>
        </w:trPr>
        <w:tc>
          <w:tcPr>
            <w:tcW w:w="1537" w:type="dxa"/>
          </w:tcPr>
          <w:p w14:paraId="6BF638D7" w14:textId="77777777" w:rsidR="00E548F7" w:rsidRPr="00070380" w:rsidRDefault="00E548F7" w:rsidP="004658B4">
            <w:pPr>
              <w:pStyle w:val="Balk2"/>
              <w:spacing w:before="120" w:after="120" w:line="360" w:lineRule="auto"/>
              <w:ind w:right="-23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5FEF7F13" w14:textId="14DBBE47" w:rsidR="00E548F7" w:rsidRPr="00E548F7" w:rsidRDefault="004658B4" w:rsidP="004658B4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523" w:right="141" w:hanging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15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B15442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E548F7" w:rsidRPr="00E548F7">
              <w:rPr>
                <w:rFonts w:ascii="Times New Roman" w:eastAsia="Calibri" w:hAnsi="Times New Roman" w:cs="Times New Roman"/>
                <w:sz w:val="24"/>
                <w:szCs w:val="24"/>
              </w:rPr>
              <w:t>ndobronşiyal</w:t>
            </w:r>
            <w:proofErr w:type="spellEnd"/>
            <w:r w:rsidR="00E548F7" w:rsidRPr="00E54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işlemlerde kullanmak üzere tasarlanmış olmalıdır.</w:t>
            </w:r>
          </w:p>
        </w:tc>
      </w:tr>
      <w:tr w:rsidR="00E548F7" w14:paraId="3F03C567" w14:textId="77777777" w:rsidTr="00A57E07">
        <w:trPr>
          <w:trHeight w:val="3879"/>
        </w:trPr>
        <w:tc>
          <w:tcPr>
            <w:tcW w:w="1537" w:type="dxa"/>
          </w:tcPr>
          <w:p w14:paraId="5376560A" w14:textId="77777777" w:rsidR="00E548F7" w:rsidRDefault="00E548F7" w:rsidP="004658B4">
            <w:pPr>
              <w:pStyle w:val="Balk2"/>
              <w:tabs>
                <w:tab w:val="left" w:pos="1201"/>
              </w:tabs>
              <w:spacing w:before="120" w:after="120" w:line="360" w:lineRule="auto"/>
              <w:ind w:right="-23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21FB1739" w14:textId="77777777" w:rsidR="00FB0338" w:rsidRPr="00FB0338" w:rsidRDefault="00FB0338" w:rsidP="00FB0338"/>
          <w:p w14:paraId="2927EAEC" w14:textId="42131A60" w:rsidR="00FB0338" w:rsidRPr="00FB0338" w:rsidRDefault="00FB0338" w:rsidP="00FB0338"/>
        </w:tc>
        <w:tc>
          <w:tcPr>
            <w:tcW w:w="8303" w:type="dxa"/>
            <w:shd w:val="clear" w:color="auto" w:fill="auto"/>
          </w:tcPr>
          <w:p w14:paraId="1B0E51FB" w14:textId="18C93750" w:rsidR="00DB0533" w:rsidRPr="00B15442" w:rsidRDefault="004658B4" w:rsidP="004658B4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523" w:right="14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548F7" w:rsidRPr="009C3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Valfler </w:t>
            </w:r>
            <w:proofErr w:type="spellStart"/>
            <w:r w:rsidR="00F467DC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E548F7" w:rsidRPr="009C3C11">
              <w:rPr>
                <w:rFonts w:ascii="Times New Roman" w:eastAsia="Calibri" w:hAnsi="Times New Roman" w:cs="Times New Roman"/>
                <w:sz w:val="24"/>
                <w:szCs w:val="24"/>
              </w:rPr>
              <w:t>itinol</w:t>
            </w:r>
            <w:proofErr w:type="spellEnd"/>
            <w:r w:rsidR="00E548F7" w:rsidRPr="009C3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48F7" w:rsidRPr="009C3C11">
              <w:rPr>
                <w:rFonts w:ascii="Times New Roman" w:eastAsia="Calibri" w:hAnsi="Times New Roman" w:cs="Times New Roman"/>
                <w:sz w:val="24"/>
                <w:szCs w:val="24"/>
              </w:rPr>
              <w:t>retainer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548F7" w:rsidRPr="009C3C1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E548F7" w:rsidRPr="009C3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afes) ile </w:t>
            </w:r>
            <w:r w:rsidR="00E548F7" w:rsidRPr="00B15442">
              <w:rPr>
                <w:rFonts w:ascii="Times New Roman" w:eastAsia="Calibri" w:hAnsi="Times New Roman" w:cs="Times New Roman"/>
                <w:sz w:val="24"/>
                <w:szCs w:val="24"/>
              </w:rPr>
              <w:t>ördek ağızlı</w:t>
            </w:r>
            <w:r w:rsidR="00F467DC" w:rsidRPr="00B15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veya şemsiye şeklinde</w:t>
            </w:r>
            <w:r w:rsidR="00E548F7" w:rsidRPr="00B15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silikon </w:t>
            </w:r>
            <w:proofErr w:type="spellStart"/>
            <w:r w:rsidR="00E548F7" w:rsidRPr="00B15442">
              <w:rPr>
                <w:rFonts w:ascii="Times New Roman" w:eastAsia="Calibri" w:hAnsi="Times New Roman" w:cs="Times New Roman"/>
                <w:sz w:val="24"/>
                <w:szCs w:val="24"/>
              </w:rPr>
              <w:t>membranın</w:t>
            </w:r>
            <w:proofErr w:type="spellEnd"/>
            <w:r w:rsidR="00E548F7" w:rsidRPr="00B15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birleşmesinden oluşmalıdır. </w:t>
            </w:r>
          </w:p>
          <w:p w14:paraId="49C91D4B" w14:textId="349F9ABD" w:rsidR="00B15442" w:rsidRPr="00B15442" w:rsidRDefault="004658B4" w:rsidP="00B15442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523" w:right="14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0533" w:rsidRPr="00B15442">
              <w:rPr>
                <w:rFonts w:ascii="Times New Roman" w:eastAsia="Calibri" w:hAnsi="Times New Roman" w:cs="Times New Roman"/>
                <w:sz w:val="24"/>
                <w:szCs w:val="24"/>
              </w:rPr>
              <w:t>Valf g</w:t>
            </w:r>
            <w:r w:rsidR="00E548F7" w:rsidRPr="00B15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irişim esnasında </w:t>
            </w:r>
            <w:proofErr w:type="spellStart"/>
            <w:r w:rsidR="00E548F7" w:rsidRPr="00B15442">
              <w:rPr>
                <w:rFonts w:ascii="Times New Roman" w:eastAsia="Calibri" w:hAnsi="Times New Roman" w:cs="Times New Roman"/>
                <w:sz w:val="24"/>
                <w:szCs w:val="24"/>
              </w:rPr>
              <w:t>zaiyatı</w:t>
            </w:r>
            <w:proofErr w:type="spellEnd"/>
            <w:r w:rsidR="00E548F7" w:rsidRPr="00B15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önlemek maksatlı tekrar kullanılabilir </w:t>
            </w:r>
            <w:proofErr w:type="spellStart"/>
            <w:proofErr w:type="gramStart"/>
            <w:r w:rsidR="00E548F7" w:rsidRPr="00B15442">
              <w:rPr>
                <w:rFonts w:ascii="Times New Roman" w:eastAsia="Calibri" w:hAnsi="Times New Roman" w:cs="Times New Roman"/>
                <w:sz w:val="24"/>
                <w:szCs w:val="24"/>
              </w:rPr>
              <w:t>olmalıdır.Veya</w:t>
            </w:r>
            <w:proofErr w:type="spellEnd"/>
            <w:proofErr w:type="gramEnd"/>
            <w:r w:rsidR="00E548F7" w:rsidRPr="00B15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7E07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="00E548F7" w:rsidRPr="00B15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alfler </w:t>
            </w:r>
            <w:proofErr w:type="spellStart"/>
            <w:r w:rsidR="00E548F7" w:rsidRPr="00B15442">
              <w:rPr>
                <w:rFonts w:ascii="Times New Roman" w:eastAsia="Calibri" w:hAnsi="Times New Roman" w:cs="Times New Roman"/>
                <w:sz w:val="24"/>
                <w:szCs w:val="24"/>
              </w:rPr>
              <w:t>nitinol</w:t>
            </w:r>
            <w:proofErr w:type="spellEnd"/>
            <w:r w:rsidR="00E548F7" w:rsidRPr="00B15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çevre etrafında polimer </w:t>
            </w:r>
            <w:proofErr w:type="spellStart"/>
            <w:r w:rsidR="00E548F7" w:rsidRPr="00B15442">
              <w:rPr>
                <w:rFonts w:ascii="Times New Roman" w:eastAsia="Calibri" w:hAnsi="Times New Roman" w:cs="Times New Roman"/>
                <w:sz w:val="24"/>
                <w:szCs w:val="24"/>
              </w:rPr>
              <w:t>membrandan</w:t>
            </w:r>
            <w:proofErr w:type="spellEnd"/>
            <w:r w:rsidR="00E548F7" w:rsidRPr="00B15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oluşan şemsiye şeklinde olmalıdır. </w:t>
            </w:r>
          </w:p>
          <w:p w14:paraId="37C7C57F" w14:textId="5DDC18D9" w:rsidR="003B31A4" w:rsidRDefault="00B15442" w:rsidP="003B31A4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523" w:right="14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1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467DC" w:rsidRPr="003B31A4">
              <w:rPr>
                <w:rFonts w:ascii="Times New Roman" w:eastAsia="Calibri" w:hAnsi="Times New Roman" w:cs="Times New Roman"/>
                <w:sz w:val="24"/>
                <w:szCs w:val="24"/>
              </w:rPr>
              <w:t>Ürünün şemsiye</w:t>
            </w:r>
            <w:r w:rsidR="003B31A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467DC" w:rsidRPr="003B31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ördek ağızlı </w:t>
            </w:r>
            <w:proofErr w:type="spellStart"/>
            <w:r w:rsidR="003B31A4">
              <w:rPr>
                <w:rFonts w:ascii="Times New Roman" w:eastAsia="Calibri" w:hAnsi="Times New Roman" w:cs="Times New Roman"/>
                <w:sz w:val="24"/>
                <w:szCs w:val="24"/>
              </w:rPr>
              <w:t>v.b</w:t>
            </w:r>
            <w:proofErr w:type="spellEnd"/>
            <w:r w:rsidR="003B31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B31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467DC" w:rsidRPr="003B31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şeklinde olan </w:t>
            </w:r>
            <w:r w:rsidR="003B31A4">
              <w:rPr>
                <w:rFonts w:ascii="Times New Roman" w:eastAsia="Calibri" w:hAnsi="Times New Roman" w:cs="Times New Roman"/>
                <w:sz w:val="24"/>
                <w:szCs w:val="24"/>
              </w:rPr>
              <w:t>tiplerinden herhangi biri olmalıdır.</w:t>
            </w:r>
          </w:p>
          <w:p w14:paraId="7E23D087" w14:textId="10C602A1" w:rsidR="00E35990" w:rsidRPr="00B15442" w:rsidRDefault="003B31A4" w:rsidP="003B31A4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523" w:right="14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Ürünün kullanım yeri ve amacına göre farklı boy ve çaplarda herhangi biri olmalıdır.</w:t>
            </w:r>
            <w:r w:rsidR="005915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48F7" w14:paraId="186BD726" w14:textId="77777777" w:rsidTr="00E548F7">
        <w:trPr>
          <w:trHeight w:val="1640"/>
        </w:trPr>
        <w:tc>
          <w:tcPr>
            <w:tcW w:w="1537" w:type="dxa"/>
          </w:tcPr>
          <w:p w14:paraId="0EB8CBB9" w14:textId="77777777" w:rsidR="00E548F7" w:rsidRPr="004B7494" w:rsidRDefault="00E548F7" w:rsidP="004658B4">
            <w:pPr>
              <w:pStyle w:val="Balk2"/>
              <w:spacing w:before="120" w:after="120" w:line="360" w:lineRule="auto"/>
              <w:ind w:right="-23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626C40BC" w14:textId="77777777" w:rsidR="00E548F7" w:rsidRPr="004B7494" w:rsidRDefault="00E548F7" w:rsidP="004658B4">
            <w:pPr>
              <w:pStyle w:val="Balk2"/>
              <w:spacing w:before="120" w:after="120" w:line="360" w:lineRule="auto"/>
              <w:ind w:right="-23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DFC65E7" w14:textId="3EC926F7" w:rsidR="00E548F7" w:rsidRDefault="004658B4" w:rsidP="004658B4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523" w:right="14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548F7" w:rsidRPr="009C3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Valfler ilgili lobda yerleştirildiği </w:t>
            </w:r>
            <w:proofErr w:type="spellStart"/>
            <w:r w:rsidR="00E548F7" w:rsidRPr="009C3C11">
              <w:rPr>
                <w:rFonts w:ascii="Times New Roman" w:eastAsia="Calibri" w:hAnsi="Times New Roman" w:cs="Times New Roman"/>
                <w:sz w:val="24"/>
                <w:szCs w:val="24"/>
              </w:rPr>
              <w:t>bronşda</w:t>
            </w:r>
            <w:proofErr w:type="spellEnd"/>
            <w:r w:rsidR="00E548F7" w:rsidRPr="009C3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tek yönlü çalışarak nefes verme sırasında </w:t>
            </w:r>
            <w:proofErr w:type="spellStart"/>
            <w:r w:rsidR="00E548F7" w:rsidRPr="009C3C11">
              <w:rPr>
                <w:rFonts w:ascii="Times New Roman" w:eastAsia="Calibri" w:hAnsi="Times New Roman" w:cs="Times New Roman"/>
                <w:sz w:val="24"/>
                <w:szCs w:val="24"/>
              </w:rPr>
              <w:t>distal</w:t>
            </w:r>
            <w:proofErr w:type="spellEnd"/>
            <w:r w:rsidR="00E548F7" w:rsidRPr="009C3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havanın izole akciğer </w:t>
            </w:r>
            <w:proofErr w:type="spellStart"/>
            <w:r w:rsidR="00E548F7" w:rsidRPr="009C3C11">
              <w:rPr>
                <w:rFonts w:ascii="Times New Roman" w:eastAsia="Calibri" w:hAnsi="Times New Roman" w:cs="Times New Roman"/>
                <w:sz w:val="24"/>
                <w:szCs w:val="24"/>
              </w:rPr>
              <w:t>segmentinden</w:t>
            </w:r>
            <w:proofErr w:type="spellEnd"/>
            <w:r w:rsidR="00E548F7" w:rsidRPr="009C3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boşaltılmasına izin vermeli</w:t>
            </w:r>
            <w:r w:rsidR="00A57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548F7" w:rsidRPr="009C3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fakat nefes alma sırasında tekrar hava ile doldurulmasına izin vermemelidir. Her solunum döngüsünde hedef akciğer </w:t>
            </w:r>
            <w:proofErr w:type="spellStart"/>
            <w:r w:rsidR="00E548F7" w:rsidRPr="009C3C11">
              <w:rPr>
                <w:rFonts w:ascii="Times New Roman" w:eastAsia="Calibri" w:hAnsi="Times New Roman" w:cs="Times New Roman"/>
                <w:sz w:val="24"/>
                <w:szCs w:val="24"/>
              </w:rPr>
              <w:t>segmentindeki</w:t>
            </w:r>
            <w:proofErr w:type="spellEnd"/>
            <w:r w:rsidR="00E548F7" w:rsidRPr="009C3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hava miktarını daha da azaltmalıdır.</w:t>
            </w:r>
          </w:p>
          <w:p w14:paraId="06DE478E" w14:textId="1DDF2B75" w:rsidR="00594D98" w:rsidRPr="00594D98" w:rsidRDefault="004658B4" w:rsidP="004658B4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523" w:right="14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94D98">
              <w:rPr>
                <w:rFonts w:ascii="Times New Roman" w:eastAsia="Calibri" w:hAnsi="Times New Roman" w:cs="Times New Roman"/>
                <w:sz w:val="24"/>
                <w:szCs w:val="24"/>
              </w:rPr>
              <w:t>Ateşleme sonrası yer değiştirme ve çıkarma için tutma yeri olmalıdır.</w:t>
            </w:r>
          </w:p>
        </w:tc>
      </w:tr>
      <w:tr w:rsidR="00E548F7" w14:paraId="722C0837" w14:textId="77777777" w:rsidTr="00E548F7">
        <w:trPr>
          <w:trHeight w:val="1025"/>
        </w:trPr>
        <w:tc>
          <w:tcPr>
            <w:tcW w:w="1537" w:type="dxa"/>
          </w:tcPr>
          <w:p w14:paraId="7C2987FF" w14:textId="77777777" w:rsidR="00E548F7" w:rsidRPr="004B7494" w:rsidRDefault="00E548F7" w:rsidP="004658B4">
            <w:pPr>
              <w:pStyle w:val="Balk2"/>
              <w:spacing w:before="120" w:after="120" w:line="360" w:lineRule="auto"/>
              <w:ind w:right="-23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4E1A6B14" w14:textId="77777777" w:rsidR="00A57E07" w:rsidRDefault="004658B4" w:rsidP="00A57E07">
            <w:pPr>
              <w:numPr>
                <w:ilvl w:val="0"/>
                <w:numId w:val="1"/>
              </w:numPr>
              <w:spacing w:before="120" w:after="120" w:line="360" w:lineRule="auto"/>
              <w:ind w:left="523" w:right="141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EA6">
              <w:rPr>
                <w:rFonts w:ascii="Times New Roman" w:hAnsi="Times New Roman" w:cs="Times New Roman"/>
                <w:sz w:val="24"/>
                <w:szCs w:val="24"/>
              </w:rPr>
              <w:t>Ürün orijinal ambalajında ve s</w:t>
            </w:r>
            <w:r w:rsidR="00E548F7" w:rsidRPr="0037666C">
              <w:rPr>
                <w:rFonts w:ascii="Times New Roman" w:hAnsi="Times New Roman" w:cs="Times New Roman"/>
                <w:sz w:val="24"/>
                <w:szCs w:val="24"/>
              </w:rPr>
              <w:t xml:space="preserve">teril paketlerde </w:t>
            </w:r>
            <w:r w:rsidR="00E548F7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="00E548F7" w:rsidRPr="0037666C">
              <w:rPr>
                <w:rFonts w:ascii="Times New Roman" w:hAnsi="Times New Roman" w:cs="Times New Roman"/>
                <w:sz w:val="24"/>
                <w:szCs w:val="24"/>
              </w:rPr>
              <w:t>malıdır</w:t>
            </w:r>
            <w:r w:rsidR="00E54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4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532E82" w14:textId="7702F033" w:rsidR="00DF7EA6" w:rsidRPr="00A57E07" w:rsidRDefault="00DF7EA6" w:rsidP="00A57E07">
            <w:pPr>
              <w:numPr>
                <w:ilvl w:val="0"/>
                <w:numId w:val="1"/>
              </w:numPr>
              <w:spacing w:before="120" w:after="120" w:line="360" w:lineRule="auto"/>
              <w:ind w:left="523" w:right="141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E07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</w:t>
            </w:r>
            <w:r w:rsidR="002427BD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A57E07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bulunmalıdır.</w:t>
            </w:r>
          </w:p>
        </w:tc>
      </w:tr>
    </w:tbl>
    <w:p w14:paraId="1E4421C4" w14:textId="77777777" w:rsidR="00E548F7" w:rsidRPr="00DF7EA6" w:rsidRDefault="00E548F7" w:rsidP="004658B4">
      <w:pPr>
        <w:spacing w:before="120" w:after="120" w:line="360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DF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SMT1060</w:t>
      </w:r>
      <w:r w:rsidRPr="00DF7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ENDOBRONŞİYAL VALF, METAL, TEK YÖNLÜ</w:t>
      </w:r>
    </w:p>
    <w:p w14:paraId="36D01261" w14:textId="77777777" w:rsidR="00FD3EF9" w:rsidRDefault="00FD3EF9" w:rsidP="004658B4">
      <w:pPr>
        <w:spacing w:line="360" w:lineRule="auto"/>
        <w:ind w:right="141"/>
      </w:pPr>
    </w:p>
    <w:sectPr w:rsidR="00FD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C5674" w14:textId="77777777" w:rsidR="00CB0989" w:rsidRDefault="00CB0989" w:rsidP="00FD3EF9">
      <w:pPr>
        <w:spacing w:after="0" w:line="240" w:lineRule="auto"/>
      </w:pPr>
      <w:r>
        <w:separator/>
      </w:r>
    </w:p>
  </w:endnote>
  <w:endnote w:type="continuationSeparator" w:id="0">
    <w:p w14:paraId="49C18D5A" w14:textId="77777777" w:rsidR="00CB0989" w:rsidRDefault="00CB0989" w:rsidP="00FD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5DEB5" w14:textId="77777777" w:rsidR="00CB0989" w:rsidRDefault="00CB0989" w:rsidP="00FD3EF9">
      <w:pPr>
        <w:spacing w:after="0" w:line="240" w:lineRule="auto"/>
      </w:pPr>
      <w:r>
        <w:separator/>
      </w:r>
    </w:p>
  </w:footnote>
  <w:footnote w:type="continuationSeparator" w:id="0">
    <w:p w14:paraId="1E77F672" w14:textId="77777777" w:rsidR="00CB0989" w:rsidRDefault="00CB0989" w:rsidP="00FD3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73E"/>
    <w:multiLevelType w:val="hybridMultilevel"/>
    <w:tmpl w:val="677EE4D8"/>
    <w:lvl w:ilvl="0" w:tplc="C6C63A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C01F1"/>
    <w:multiLevelType w:val="hybridMultilevel"/>
    <w:tmpl w:val="2D8E13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4223">
    <w:abstractNumId w:val="0"/>
  </w:num>
  <w:num w:numId="2" w16cid:durableId="495190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F9"/>
    <w:rsid w:val="00124E21"/>
    <w:rsid w:val="002427BD"/>
    <w:rsid w:val="002602CD"/>
    <w:rsid w:val="003518B9"/>
    <w:rsid w:val="003B31A4"/>
    <w:rsid w:val="00442C01"/>
    <w:rsid w:val="0046586B"/>
    <w:rsid w:val="004658B4"/>
    <w:rsid w:val="00591568"/>
    <w:rsid w:val="00594D98"/>
    <w:rsid w:val="005B44AD"/>
    <w:rsid w:val="00815457"/>
    <w:rsid w:val="009F3343"/>
    <w:rsid w:val="009F5888"/>
    <w:rsid w:val="00A57E07"/>
    <w:rsid w:val="00B15442"/>
    <w:rsid w:val="00B75741"/>
    <w:rsid w:val="00C14666"/>
    <w:rsid w:val="00CB0989"/>
    <w:rsid w:val="00CE1EC3"/>
    <w:rsid w:val="00D77AF9"/>
    <w:rsid w:val="00D92311"/>
    <w:rsid w:val="00DA77A2"/>
    <w:rsid w:val="00DB0533"/>
    <w:rsid w:val="00DB1459"/>
    <w:rsid w:val="00DF7EA6"/>
    <w:rsid w:val="00E35990"/>
    <w:rsid w:val="00E51A73"/>
    <w:rsid w:val="00E548F7"/>
    <w:rsid w:val="00E757BE"/>
    <w:rsid w:val="00F41D65"/>
    <w:rsid w:val="00F467DC"/>
    <w:rsid w:val="00F82ECB"/>
    <w:rsid w:val="00FB0338"/>
    <w:rsid w:val="00FB772C"/>
    <w:rsid w:val="00FD3EF9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FD1"/>
  <w15:chartTrackingRefBased/>
  <w15:docId w15:val="{5CB00E91-7857-448C-BEB8-7CA11C01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EF9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D3E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D3E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FD3EF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D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3EF9"/>
  </w:style>
  <w:style w:type="paragraph" w:styleId="AltBilgi">
    <w:name w:val="footer"/>
    <w:basedOn w:val="Normal"/>
    <w:link w:val="AltBilgiChar"/>
    <w:uiPriority w:val="99"/>
    <w:unhideWhenUsed/>
    <w:rsid w:val="00FD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3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3</cp:revision>
  <dcterms:created xsi:type="dcterms:W3CDTF">2022-06-22T07:18:00Z</dcterms:created>
  <dcterms:modified xsi:type="dcterms:W3CDTF">2022-07-25T12:44:00Z</dcterms:modified>
</cp:coreProperties>
</file>