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B3E93" w14:paraId="5791AC46" w14:textId="77777777" w:rsidTr="00666A91">
        <w:trPr>
          <w:trHeight w:val="2713"/>
        </w:trPr>
        <w:tc>
          <w:tcPr>
            <w:tcW w:w="1537" w:type="dxa"/>
          </w:tcPr>
          <w:p w14:paraId="6B57E4C5" w14:textId="77777777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5F085F4" w:rsidR="00696F04" w:rsidRPr="0075445E" w:rsidRDefault="00A46322" w:rsidP="0075445E">
            <w:pPr>
              <w:pStyle w:val="ListeParagraf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B3E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Set, Post-op Abdominal/Torasik Atelektazi, Segmental/Lobar Atelektazi, Sanc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ılı Nefes Alma, KOAH (Kronik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Obstrüktif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Akciğer Hastalığı),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Kistik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Fibrozis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gibi solunum zorluğu ve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sekresyon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yaratan tüm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endikasyonlarda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, akut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ekstübasyon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döneminde,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-op akciğer optimizasyonu dahil yoğun bakım gerektiren ve </w:t>
            </w:r>
            <w:proofErr w:type="spellStart"/>
            <w:r w:rsidR="00994C43" w:rsidRPr="0075445E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="00994C43" w:rsidRPr="0075445E">
              <w:rPr>
                <w:rFonts w:ascii="Times New Roman" w:hAnsi="Times New Roman" w:cs="Times New Roman"/>
                <w:sz w:val="24"/>
                <w:szCs w:val="24"/>
              </w:rPr>
              <w:t xml:space="preserve"> edilmeden veya </w:t>
            </w:r>
            <w:proofErr w:type="spellStart"/>
            <w:r w:rsidR="00994C43" w:rsidRPr="0075445E">
              <w:rPr>
                <w:rFonts w:ascii="Times New Roman" w:hAnsi="Times New Roman" w:cs="Times New Roman"/>
                <w:sz w:val="24"/>
                <w:szCs w:val="24"/>
              </w:rPr>
              <w:t>entübe</w:t>
            </w:r>
            <w:proofErr w:type="spellEnd"/>
            <w:r w:rsidR="00994C43" w:rsidRPr="0075445E">
              <w:rPr>
                <w:rFonts w:ascii="Times New Roman" w:hAnsi="Times New Roman" w:cs="Times New Roman"/>
                <w:sz w:val="24"/>
                <w:szCs w:val="24"/>
              </w:rPr>
              <w:t xml:space="preserve"> edilerek</w:t>
            </w:r>
            <w:r w:rsidR="0099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ventilasyona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uygun tüm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endikasyonlarda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da kullanıma uygun olmalıdır.</w:t>
            </w:r>
          </w:p>
        </w:tc>
      </w:tr>
      <w:tr w:rsidR="004B7494" w:rsidRPr="00EB3E93" w14:paraId="48B12155" w14:textId="77777777" w:rsidTr="00666A91">
        <w:trPr>
          <w:trHeight w:val="1405"/>
        </w:trPr>
        <w:tc>
          <w:tcPr>
            <w:tcW w:w="1537" w:type="dxa"/>
          </w:tcPr>
          <w:p w14:paraId="0A8AD5BF" w14:textId="77777777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8E40A" w14:textId="4413732A" w:rsidR="00994C43" w:rsidRPr="0075445E" w:rsidRDefault="00BF591A" w:rsidP="0075445E">
            <w:pPr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nonkoopere</w:t>
            </w:r>
            <w:proofErr w:type="spellEnd"/>
            <w:r w:rsidR="0099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45E">
              <w:rPr>
                <w:rFonts w:ascii="Times New Roman" w:hAnsi="Times New Roman" w:cs="Times New Roman"/>
                <w:sz w:val="24"/>
                <w:szCs w:val="24"/>
              </w:rPr>
              <w:t>ve/</w:t>
            </w:r>
            <w:r w:rsidR="0075445E" w:rsidRPr="0075445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754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45E">
              <w:rPr>
                <w:rFonts w:ascii="Times New Roman" w:hAnsi="Times New Roman" w:cs="Times New Roman"/>
                <w:sz w:val="24"/>
                <w:szCs w:val="24"/>
              </w:rPr>
              <w:t>koopere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hastalarda kullanmak üzere çeşitleri olmalıdır.</w:t>
            </w:r>
            <w:r w:rsidR="00994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3E93" w:rsidRPr="00EB3E93" w14:paraId="76394097" w14:textId="77777777" w:rsidTr="00400917">
        <w:trPr>
          <w:trHeight w:val="1181"/>
        </w:trPr>
        <w:tc>
          <w:tcPr>
            <w:tcW w:w="1537" w:type="dxa"/>
          </w:tcPr>
          <w:p w14:paraId="17AC931D" w14:textId="77777777" w:rsidR="00EB3E93" w:rsidRPr="00EB3E93" w:rsidRDefault="00EB3E93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3763902" w14:textId="77777777" w:rsidR="00EB3E93" w:rsidRPr="00EB3E93" w:rsidRDefault="00EB3E93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F597D9E" w14:textId="65CED5A2" w:rsidR="00666A91" w:rsidRPr="00666A91" w:rsidRDefault="00BF591A" w:rsidP="00666A91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hippoallerjen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B9F">
              <w:rPr>
                <w:rFonts w:ascii="Times New Roman" w:hAnsi="Times New Roman" w:cs="Times New Roman"/>
                <w:sz w:val="24"/>
                <w:szCs w:val="24"/>
              </w:rPr>
              <w:t xml:space="preserve">olmalı </w:t>
            </w:r>
            <w:bookmarkStart w:id="0" w:name="_GoBack"/>
            <w:bookmarkEnd w:id="0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ve lateks içermemelidir.</w:t>
            </w:r>
          </w:p>
          <w:p w14:paraId="4F4F0B5D" w14:textId="77777777" w:rsidR="00666A91" w:rsidRDefault="00EB3E93" w:rsidP="00666A91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Set dahilindeki ana modül, ağrısız bir şekilde, etkin ve hızlı akciğer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ekspansiyonu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bronşiyel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hijyen sağlamalıdır.</w:t>
            </w:r>
          </w:p>
          <w:p w14:paraId="0E3A0D9E" w14:textId="77777777" w:rsidR="00666A91" w:rsidRDefault="00EB3E93" w:rsidP="00666A91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Akciğer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ventilasyonu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için giriş hava akışını yükselten modül, yarattığı pozitif havayolu basıncı ile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inspiratuar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performans artışı ve pozitif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ekspiratuar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basınç (PEP) terapisi sağlayarak hava yollarının açılmasını hızlandırmalı ve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kollateral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ventilasyonu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tetikleyerek var olan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hacim dahilindeki açık havayolu ve alveollerdeki pozitif hava basıncının etkisi ile sönmüş olan alveolleri havalandırma da etkinlik yaratmalıdır. Bu sayede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atelektazi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kolayca önlenebilmeli ve daha ağrısız, hızlı bir geri dönüş ve toparlanma süreci sağlanabilmelidir. </w:t>
            </w:r>
          </w:p>
          <w:p w14:paraId="63BB0930" w14:textId="77777777" w:rsidR="00666A91" w:rsidRDefault="00075D4C" w:rsidP="00666A91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Ana modül, tüm solunum döngüsü boyunca çift yönlü olarak sağladığı sürekli pozitif havayolu basıncı sayesinde hava akış yollarının açık kalmasını sağlamalı ve bu sayede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ekspirasyon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(nefes verme) esnasında dahi akciğerde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(nefes alma) etkisi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yaratarak </w:t>
            </w:r>
            <w:proofErr w:type="spellStart"/>
            <w:proofErr w:type="gramStart"/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ağrı</w:t>
            </w: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,bunalma</w:t>
            </w:r>
            <w:proofErr w:type="spellEnd"/>
            <w:proofErr w:type="gram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,boğulma hissi vermeksizin akciğerlerde istenen etkiyi sağlamalıdır.</w:t>
            </w:r>
          </w:p>
          <w:p w14:paraId="3975C5FD" w14:textId="39DCB93C" w:rsidR="00075D4C" w:rsidRPr="00666A91" w:rsidRDefault="00075D4C" w:rsidP="00666A91">
            <w:pPr>
              <w:pStyle w:val="ListeParagraf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Ana modüle gerektiğinde herhangi bir ilave cihaz/ünite gerektirmeksizin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nebülizatör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aksamı eklenebilen veya FCV </w:t>
            </w:r>
            <w:r w:rsidR="0075445E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JET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ventilasyon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modları</w:t>
            </w:r>
            <w:proofErr w:type="spellEnd"/>
            <w:r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ile istenilen etkiyi sağlan tipleri olmalıdır.</w:t>
            </w:r>
          </w:p>
        </w:tc>
      </w:tr>
    </w:tbl>
    <w:p w14:paraId="0A6E725E" w14:textId="77777777" w:rsidR="00F27053" w:rsidRDefault="00F27053">
      <w:r>
        <w:br w:type="page"/>
      </w:r>
    </w:p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B3E93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156979B3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633FE085" w14:textId="77777777" w:rsidR="004B7494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B519FC4" w14:textId="77777777" w:rsidR="00F27053" w:rsidRDefault="00F27053" w:rsidP="00F27053"/>
          <w:p w14:paraId="7CC57AB3" w14:textId="77777777" w:rsidR="00F27053" w:rsidRDefault="00F27053" w:rsidP="00F27053"/>
          <w:p w14:paraId="2B9EE75B" w14:textId="77777777" w:rsidR="00F27053" w:rsidRDefault="00F27053" w:rsidP="00F27053"/>
          <w:p w14:paraId="48237B27" w14:textId="77777777" w:rsidR="00F27053" w:rsidRDefault="00F27053" w:rsidP="00F27053"/>
          <w:p w14:paraId="53C8A60F" w14:textId="77777777" w:rsidR="00F27053" w:rsidRDefault="00F27053" w:rsidP="00F27053"/>
          <w:p w14:paraId="73E66218" w14:textId="77777777" w:rsidR="00F27053" w:rsidRDefault="00F27053" w:rsidP="00F27053"/>
          <w:p w14:paraId="18105B6C" w14:textId="77777777" w:rsidR="00F27053" w:rsidRDefault="00F27053" w:rsidP="00F27053"/>
          <w:p w14:paraId="1C9A34E2" w14:textId="77777777" w:rsidR="00F27053" w:rsidRDefault="00F27053" w:rsidP="00F27053"/>
          <w:p w14:paraId="027FAD19" w14:textId="77777777" w:rsidR="00F27053" w:rsidRDefault="00F27053" w:rsidP="00F27053"/>
          <w:p w14:paraId="2EF687FE" w14:textId="77777777" w:rsidR="00F27053" w:rsidRDefault="00F27053" w:rsidP="00F27053"/>
          <w:p w14:paraId="2450B92D" w14:textId="77777777" w:rsidR="00F27053" w:rsidRDefault="00F27053" w:rsidP="00F27053"/>
          <w:p w14:paraId="7A5CD744" w14:textId="77777777" w:rsidR="00F27053" w:rsidRDefault="00F27053" w:rsidP="00F27053"/>
          <w:p w14:paraId="67C0F308" w14:textId="77777777" w:rsidR="00F27053" w:rsidRDefault="00F27053" w:rsidP="00F27053"/>
          <w:p w14:paraId="3C78B1FB" w14:textId="77777777" w:rsidR="00F27053" w:rsidRDefault="00F27053" w:rsidP="00F27053"/>
          <w:p w14:paraId="1E26AFBC" w14:textId="77777777" w:rsidR="00F27053" w:rsidRDefault="00F27053" w:rsidP="00F27053"/>
          <w:p w14:paraId="57E659A2" w14:textId="77777777" w:rsidR="00F27053" w:rsidRDefault="00F27053" w:rsidP="00F27053"/>
          <w:p w14:paraId="772DFF5D" w14:textId="77777777" w:rsidR="00F27053" w:rsidRDefault="00F27053" w:rsidP="00F27053"/>
          <w:p w14:paraId="3B37D848" w14:textId="77777777" w:rsidR="00F27053" w:rsidRDefault="00F27053" w:rsidP="00F27053"/>
          <w:p w14:paraId="54380F3C" w14:textId="77777777" w:rsidR="00F27053" w:rsidRDefault="00F27053" w:rsidP="00F27053"/>
          <w:p w14:paraId="63490A11" w14:textId="77777777" w:rsidR="00F27053" w:rsidRDefault="00F27053" w:rsidP="00F27053"/>
          <w:p w14:paraId="130DCA64" w14:textId="77777777" w:rsidR="00F27053" w:rsidRDefault="00F27053" w:rsidP="00F27053"/>
          <w:p w14:paraId="7556527A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4771534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55E9CF2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57CBF91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45AB512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7B1AA2A6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7FECF74" w14:textId="77777777" w:rsidR="00F2705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0E5EACD" w14:textId="47DEC380" w:rsidR="00F27053" w:rsidRPr="00EB3E93" w:rsidRDefault="00F27053" w:rsidP="00F2705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</w:t>
            </w: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eknik Özellikleri: </w:t>
            </w:r>
          </w:p>
          <w:p w14:paraId="393B9397" w14:textId="6A094903" w:rsidR="00F27053" w:rsidRPr="00F27053" w:rsidRDefault="00F27053" w:rsidP="00F27053"/>
        </w:tc>
        <w:tc>
          <w:tcPr>
            <w:tcW w:w="8303" w:type="dxa"/>
            <w:shd w:val="clear" w:color="auto" w:fill="auto"/>
          </w:tcPr>
          <w:p w14:paraId="61939B79" w14:textId="582731F4" w:rsidR="00666A91" w:rsidRPr="00666A91" w:rsidRDefault="00666A91" w:rsidP="00666A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Set ve dahilindeki ana modül tüm bu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özellikleri, herhangi</w:t>
            </w:r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bir medikal hava veya oksijen kaynağına bağlanarak sağlayabilmeli ve bağlandığı hava</w:t>
            </w:r>
            <w:r w:rsidR="00C23B04" w:rsidRPr="00666A91">
              <w:rPr>
                <w:rFonts w:ascii="Times New Roman" w:hAnsi="Times New Roman" w:cs="Times New Roman"/>
                <w:sz w:val="24"/>
                <w:szCs w:val="24"/>
              </w:rPr>
              <w:t>yı</w:t>
            </w:r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kaynağından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alarak yüksek</w:t>
            </w:r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frekanslı akış ve basınçlı hale getirebilmelidir. </w:t>
            </w:r>
            <w:r w:rsidR="00C23B04" w:rsidRPr="00666A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>Ko-opere</w:t>
            </w:r>
            <w:proofErr w:type="spellEnd"/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hastalarında kullanılan tiplerde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ürün, hastanın</w:t>
            </w:r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var olan </w:t>
            </w:r>
            <w:proofErr w:type="spellStart"/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>tidal</w:t>
            </w:r>
            <w:proofErr w:type="spellEnd"/>
            <w:r w:rsidR="00461565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volüm hava hacmi modülün çalışması için yeterli olmalıdır</w:t>
            </w:r>
            <w:r w:rsidR="0075445E" w:rsidRPr="00666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A8FAAF" w14:textId="5AA5DA19" w:rsidR="00666A91" w:rsidRDefault="00666A91" w:rsidP="00666A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66A9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Koopere hasta tipindeki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ürünlerde Ana</w:t>
            </w:r>
            <w:r w:rsidR="00EB3E9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modülün uç bağlantısı ağızlık ve ora-nazal maske bağlanabilmeli ve bu şekilde çalışmaya uygun olmalı</w:t>
            </w:r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iken </w:t>
            </w:r>
            <w:proofErr w:type="spellStart"/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entube</w:t>
            </w:r>
            <w:proofErr w:type="spellEnd"/>
            <w:r w:rsidR="00C23B04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>hastalarda (</w:t>
            </w:r>
            <w:proofErr w:type="spellStart"/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>koopere</w:t>
            </w:r>
            <w:proofErr w:type="spellEnd"/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3B04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kullanılan tipler ise </w:t>
            </w:r>
            <w:r w:rsidR="001E2351" w:rsidRPr="00666A91">
              <w:rPr>
                <w:rFonts w:ascii="Times New Roman" w:hAnsi="Times New Roman" w:cs="Times New Roman"/>
                <w:sz w:val="24"/>
                <w:szCs w:val="24"/>
              </w:rPr>
              <w:t>entübasyon tüplerine bağlantı yapabilmeli bu sayede istenen etkiyi entube olan hastada sağlamalı</w:t>
            </w:r>
            <w:r w:rsidR="0067507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</w:p>
          <w:p w14:paraId="5D43B830" w14:textId="042882C4" w:rsidR="00EB3E93" w:rsidRPr="00666A91" w:rsidRDefault="00666A91" w:rsidP="00666A9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10. </w:t>
            </w:r>
            <w:r w:rsidR="00EB3E9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Set dahilinde </w:t>
            </w:r>
            <w:r w:rsidR="008E5493" w:rsidRPr="00666A91">
              <w:rPr>
                <w:rFonts w:ascii="Times New Roman" w:hAnsi="Times New Roman" w:cs="Times New Roman"/>
                <w:sz w:val="24"/>
                <w:szCs w:val="24"/>
              </w:rPr>
              <w:t xml:space="preserve">veya haricinde </w:t>
            </w:r>
            <w:r w:rsidR="00EB3E93" w:rsidRPr="00666A91">
              <w:rPr>
                <w:rFonts w:ascii="Times New Roman" w:hAnsi="Times New Roman" w:cs="Times New Roman"/>
                <w:sz w:val="24"/>
                <w:szCs w:val="24"/>
              </w:rPr>
              <w:t>hava kaynağına bağlantı hortumu standart olarak verilmelidir.</w:t>
            </w:r>
          </w:p>
          <w:p w14:paraId="13BAB3A9" w14:textId="17C55EF8" w:rsidR="00A46322" w:rsidRPr="00151971" w:rsidRDefault="00151971" w:rsidP="001519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 xml:space="preserve">        </w:t>
            </w:r>
            <w:r w:rsidR="00666A91" w:rsidRPr="00151971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11.</w:t>
            </w:r>
            <w:r w:rsidR="00A46322" w:rsidRPr="00151971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Bilinci Kapalı (</w:t>
            </w:r>
            <w:proofErr w:type="spellStart"/>
            <w:r w:rsidR="00A46322" w:rsidRPr="00151971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Non-koopere</w:t>
            </w:r>
            <w:proofErr w:type="spellEnd"/>
            <w:r w:rsidR="00A46322" w:rsidRPr="00151971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) Hasta İçin;</w:t>
            </w:r>
          </w:p>
          <w:p w14:paraId="7C8B1A28" w14:textId="6D6ED8EE" w:rsidR="00A46322" w:rsidRPr="00EB3E93" w:rsidRDefault="00A46322" w:rsidP="00EB3E93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Ana modül solunum döngüsü </w:t>
            </w:r>
            <w:r w:rsidR="00E6373B"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boyunca; </w:t>
            </w:r>
            <w:proofErr w:type="spellStart"/>
            <w:r w:rsidR="00E6373B" w:rsidRPr="00EB3E93">
              <w:rPr>
                <w:rFonts w:ascii="Times New Roman" w:hAnsi="Times New Roman" w:cs="Times New Roman"/>
                <w:sz w:val="24"/>
                <w:szCs w:val="24"/>
              </w:rPr>
              <w:t>inspiryum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ekspiryumu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performanslı hale getirip hem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inspirasyon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(nefes alma) hem de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ekspirasyon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(nefes verme)’da pozitif hava yolu basıncı sağlayan etkin bir tasarıma sahip olup klinik olarak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ko-opere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olmayan hastalar dahil kullanıma uygun olmalıdır. </w:t>
            </w:r>
          </w:p>
          <w:p w14:paraId="74DB94EB" w14:textId="075C1DD8" w:rsidR="008E5493" w:rsidRDefault="00A46322" w:rsidP="00EB3E93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750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Ana modül solunum döngüsü boyunca çift yönlü olarak sağladığı hava basıncı ile bronşları ve alveolleri açık tutarak yüksek </w:t>
            </w:r>
            <w:proofErr w:type="spellStart"/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>frerkenaslı</w:t>
            </w:r>
            <w:proofErr w:type="spellEnd"/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>oksijenanasyon</w:t>
            </w:r>
            <w:proofErr w:type="spellEnd"/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 sağlayabilmel</w:t>
            </w:r>
            <w:r w:rsidR="00F9380C" w:rsidRPr="0067507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5493" w:rsidRPr="00675073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="008E54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8D8BD" w14:textId="5F97AC58" w:rsidR="00310DF0" w:rsidRPr="00EB3E93" w:rsidRDefault="00675073" w:rsidP="00310DF0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Ana modülün uç bağlantısı direk veya ara adaptörle </w:t>
            </w:r>
            <w:proofErr w:type="spellStart"/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>trakeostomi</w:t>
            </w:r>
            <w:proofErr w:type="spellEnd"/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>kanülü</w:t>
            </w:r>
            <w:proofErr w:type="spellEnd"/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 veya ora-nazal maske veya entübasyon tüpüne bağlanabilmeli ve bu şekilde çalışmaya uygun olmalıdır.</w:t>
            </w:r>
          </w:p>
          <w:p w14:paraId="2DF5A26F" w14:textId="4CDC3A3A" w:rsidR="00310DF0" w:rsidRPr="00675073" w:rsidRDefault="00A46322" w:rsidP="00675073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6750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F0" w:rsidRPr="00675073">
              <w:rPr>
                <w:rFonts w:ascii="Times New Roman" w:hAnsi="Times New Roman" w:cs="Times New Roman"/>
                <w:sz w:val="24"/>
                <w:szCs w:val="24"/>
              </w:rPr>
              <w:t>Ana modül üzerinde PEEP basıncı sürekli olarak gözlemlenebilmelidir</w:t>
            </w:r>
          </w:p>
          <w:p w14:paraId="302036FC" w14:textId="05711746" w:rsidR="00495D50" w:rsidRDefault="00CD1351" w:rsidP="00310DF0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Setler hastane demirbaşında </w:t>
            </w:r>
            <w:r w:rsidR="00675073" w:rsidRPr="00675073">
              <w:rPr>
                <w:rFonts w:ascii="Times New Roman" w:hAnsi="Times New Roman" w:cs="Times New Roman"/>
                <w:sz w:val="24"/>
                <w:szCs w:val="24"/>
              </w:rPr>
              <w:t>kayıtlı mekanik</w:t>
            </w:r>
            <w:r w:rsidRPr="00675073">
              <w:rPr>
                <w:rFonts w:ascii="Times New Roman" w:hAnsi="Times New Roman" w:cs="Times New Roman"/>
                <w:sz w:val="24"/>
                <w:szCs w:val="24"/>
              </w:rPr>
              <w:t xml:space="preserve"> vantilatör cihazlı ile uyumlu olmalıdır.</w:t>
            </w:r>
          </w:p>
          <w:p w14:paraId="6F6906EC" w14:textId="685993AA" w:rsidR="00A46322" w:rsidRPr="00EB3E93" w:rsidRDefault="00666A91" w:rsidP="00EB3E93">
            <w:pPr>
              <w:pStyle w:val="Gvde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12.</w:t>
            </w:r>
            <w:r w:rsidR="00A46322" w:rsidRPr="00EB3E93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Bilinci Açık (</w:t>
            </w:r>
            <w:proofErr w:type="spellStart"/>
            <w:r w:rsidR="00A46322" w:rsidRPr="00EB3E93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Ko-opere</w:t>
            </w:r>
            <w:proofErr w:type="spellEnd"/>
            <w:r w:rsidR="00A46322" w:rsidRPr="00EB3E93">
              <w:rPr>
                <w:rFonts w:ascii="Times New Roman" w:hAnsi="Times New Roman" w:cs="Times New Roman"/>
                <w:b/>
                <w:color w:val="343434"/>
                <w:sz w:val="24"/>
                <w:szCs w:val="24"/>
                <w:shd w:val="clear" w:color="auto" w:fill="FFFFFF"/>
              </w:rPr>
              <w:t>) Hasta İçin;</w:t>
            </w:r>
          </w:p>
          <w:p w14:paraId="2B3B7768" w14:textId="48CA7B48" w:rsidR="00A46322" w:rsidRPr="00EB3E93" w:rsidRDefault="00A46322" w:rsidP="00EB3E93">
            <w:pPr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Set dahilindeki ana modül, özellikle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ko-opere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hastalarda pozitif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ekspiratuar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basınç (PEP) terapisinin etkinliğini maksimize ederek hızlı ve etkin akciğer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ekspansiyonu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perküsif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bronşiyel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hijyen terapisi ile birlikte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sekresyonun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atılmasında etkin bir tedavi sağlamalıdır.</w:t>
            </w:r>
          </w:p>
          <w:p w14:paraId="2360AB5F" w14:textId="77777777" w:rsidR="00A46322" w:rsidRPr="00EB3E93" w:rsidRDefault="00A46322" w:rsidP="00EB3E93">
            <w:pPr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2624" w14:textId="6B49CB5D" w:rsidR="00A46322" w:rsidRPr="00EB3E93" w:rsidRDefault="00A46322" w:rsidP="00EB3E93">
            <w:pPr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modü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l, hastan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pozisyonuna bağlı olmaksızın akciğer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ekspirasyonunda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hava akışını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osilasyonlu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mekanizma ile vibrasyonlu hale getirerek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perküsif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etki yaratmalı ve bu sayede akciğerlerdeki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sekresyonun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yoğunluğunu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azaltı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</w:t>
            </w:r>
            <w:r w:rsidR="00666A9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Pr="00EB3E93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gev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şeterek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hareketlendirilerek atılmasını kolaylaştırmalıdır.</w:t>
            </w:r>
          </w:p>
          <w:p w14:paraId="1B15D1CB" w14:textId="2A279626" w:rsidR="007D46FC" w:rsidRPr="00EB3E93" w:rsidRDefault="00A46322" w:rsidP="00EB3E93">
            <w:pPr>
              <w:spacing w:after="0" w:line="36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Klinik kullanımı ile akciğer optimizasyonu,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atelektazi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sekresyon</w:t>
            </w:r>
            <w:proofErr w:type="spellEnd"/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yönetiminde etkin bir geri dönüş ve toparlanma sağlayabilmelidir ve evde kullanıma uygun tasarımı ile de tedavinin hastane dışında da uzatılabilmesini, etkinliğinin artmasını sağlayarak kötü </w:t>
            </w:r>
            <w:r w:rsidRPr="00EB3E9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prognoz 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önlenebilmelidir. Bu şekilde </w:t>
            </w:r>
            <w:r w:rsidRPr="00EB3E93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ç</w:t>
            </w:r>
            <w:r w:rsidRPr="00EB3E93">
              <w:rPr>
                <w:rFonts w:ascii="Times New Roman" w:hAnsi="Times New Roman" w:cs="Times New Roman"/>
                <w:sz w:val="24"/>
                <w:szCs w:val="24"/>
              </w:rPr>
              <w:t>ok yönlü kullanıma uygun olmalıdır.</w:t>
            </w:r>
          </w:p>
        </w:tc>
      </w:tr>
      <w:tr w:rsidR="004B7494" w:rsidRPr="00EB3E93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3E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EB3E93" w:rsidRDefault="004B7494" w:rsidP="00EB3E93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D067CBB" w14:textId="77777777" w:rsidR="00666A91" w:rsidRDefault="00666A91" w:rsidP="00666A91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25195"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073" w:rsidRPr="00EB3E93">
              <w:rPr>
                <w:rFonts w:ascii="Times New Roman" w:hAnsi="Times New Roman" w:cs="Times New Roman"/>
                <w:sz w:val="24"/>
                <w:szCs w:val="24"/>
              </w:rPr>
              <w:t>Ürünler tek</w:t>
            </w:r>
            <w:r w:rsidR="00525195"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kullanımlık </w:t>
            </w:r>
            <w:r w:rsidR="00825136" w:rsidRPr="00EB3E93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5ABF175E" w14:textId="09D91794" w:rsidR="00525195" w:rsidRPr="00EB3E93" w:rsidRDefault="00666A91" w:rsidP="00666A91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14.Ü</w:t>
            </w:r>
            <w:r w:rsidR="00825136" w:rsidRPr="00EB3E93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825136" w:rsidRPr="00EB3E93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bulunmalıdır.</w:t>
            </w:r>
          </w:p>
          <w:p w14:paraId="1B153529" w14:textId="49F8EF60" w:rsidR="00195FEB" w:rsidRPr="00EB3E93" w:rsidRDefault="00495D50" w:rsidP="00EB3E93">
            <w:pPr>
              <w:pStyle w:val="ListeParagra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3335A9E9" w14:textId="77777777" w:rsidR="00331203" w:rsidRPr="00EB3E93" w:rsidRDefault="00331203" w:rsidP="00EB3E93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B3E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DC1AC" w14:textId="77777777" w:rsidR="00D63D7E" w:rsidRDefault="00D63D7E" w:rsidP="00B2517C">
      <w:pPr>
        <w:spacing w:after="0" w:line="240" w:lineRule="auto"/>
      </w:pPr>
      <w:r>
        <w:separator/>
      </w:r>
    </w:p>
  </w:endnote>
  <w:endnote w:type="continuationSeparator" w:id="0">
    <w:p w14:paraId="2125C452" w14:textId="77777777" w:rsidR="00D63D7E" w:rsidRDefault="00D63D7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895187"/>
      <w:docPartObj>
        <w:docPartGallery w:val="Page Numbers (Bottom of Page)"/>
        <w:docPartUnique/>
      </w:docPartObj>
    </w:sdtPr>
    <w:sdtEndPr/>
    <w:sdtContent>
      <w:p w14:paraId="046EEC43" w14:textId="44602927" w:rsidR="00F27053" w:rsidRDefault="00F2705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87A">
          <w:rPr>
            <w:noProof/>
          </w:rPr>
          <w:t>6</w:t>
        </w:r>
        <w:r>
          <w:fldChar w:fldCharType="end"/>
        </w:r>
      </w:p>
    </w:sdtContent>
  </w:sdt>
  <w:p w14:paraId="49D738E2" w14:textId="77777777" w:rsidR="00F27053" w:rsidRDefault="00F270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3E27" w14:textId="77777777" w:rsidR="00D63D7E" w:rsidRDefault="00D63D7E" w:rsidP="00B2517C">
      <w:pPr>
        <w:spacing w:after="0" w:line="240" w:lineRule="auto"/>
      </w:pPr>
      <w:r>
        <w:separator/>
      </w:r>
    </w:p>
  </w:footnote>
  <w:footnote w:type="continuationSeparator" w:id="0">
    <w:p w14:paraId="480B2AB4" w14:textId="77777777" w:rsidR="00D63D7E" w:rsidRDefault="00D63D7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17CC" w14:textId="29564A99" w:rsidR="00A46322" w:rsidRPr="00666A91" w:rsidRDefault="00A46322" w:rsidP="00A46322">
    <w:pPr>
      <w:pStyle w:val="Gvde"/>
      <w:rPr>
        <w:rFonts w:ascii="Times New Roman" w:hAnsi="Times New Roman" w:cs="Times New Roman"/>
        <w:b/>
        <w:color w:val="auto"/>
        <w:sz w:val="24"/>
        <w:szCs w:val="21"/>
        <w:shd w:val="clear" w:color="auto" w:fill="FFFFFF"/>
      </w:rPr>
    </w:pPr>
    <w:r w:rsidRPr="00666A91">
      <w:rPr>
        <w:rFonts w:ascii="Times New Roman" w:eastAsia="Times New Roman" w:hAnsi="Times New Roman" w:cs="Times New Roman"/>
        <w:b/>
        <w:color w:val="auto"/>
        <w:sz w:val="24"/>
        <w:szCs w:val="24"/>
      </w:rPr>
      <w:t xml:space="preserve">SMT1202 </w:t>
    </w:r>
    <w:r w:rsidRPr="00666A91">
      <w:rPr>
        <w:rFonts w:ascii="Times New Roman" w:hAnsi="Times New Roman" w:cs="Times New Roman"/>
        <w:b/>
        <w:color w:val="auto"/>
        <w:sz w:val="24"/>
        <w:szCs w:val="21"/>
        <w:shd w:val="clear" w:color="auto" w:fill="FFFFFF"/>
      </w:rPr>
      <w:t>YÜKSEK FREKANSLI OSİLATÖR VE YÜKSEK FREKANSLI PERKÜSİF, DİFFÜSİF VENTİLATÖR SETİ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B188530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34668B0"/>
    <w:multiLevelType w:val="hybridMultilevel"/>
    <w:tmpl w:val="319C774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A30D1"/>
    <w:multiLevelType w:val="hybridMultilevel"/>
    <w:tmpl w:val="AEDA548C"/>
    <w:lvl w:ilvl="0" w:tplc="F10A96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F2785E"/>
    <w:multiLevelType w:val="hybridMultilevel"/>
    <w:tmpl w:val="B188530A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E36C0"/>
    <w:multiLevelType w:val="hybridMultilevel"/>
    <w:tmpl w:val="9A563F1E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0"/>
  </w:num>
  <w:num w:numId="6">
    <w:abstractNumId w:val="2"/>
  </w:num>
  <w:num w:numId="7">
    <w:abstractNumId w:val="27"/>
  </w:num>
  <w:num w:numId="8">
    <w:abstractNumId w:val="22"/>
  </w:num>
  <w:num w:numId="9">
    <w:abstractNumId w:val="31"/>
  </w:num>
  <w:num w:numId="10">
    <w:abstractNumId w:val="3"/>
  </w:num>
  <w:num w:numId="11">
    <w:abstractNumId w:val="9"/>
  </w:num>
  <w:num w:numId="12">
    <w:abstractNumId w:val="15"/>
  </w:num>
  <w:num w:numId="13">
    <w:abstractNumId w:val="25"/>
  </w:num>
  <w:num w:numId="14">
    <w:abstractNumId w:val="8"/>
  </w:num>
  <w:num w:numId="15">
    <w:abstractNumId w:val="32"/>
  </w:num>
  <w:num w:numId="16">
    <w:abstractNumId w:val="21"/>
  </w:num>
  <w:num w:numId="17">
    <w:abstractNumId w:val="28"/>
  </w:num>
  <w:num w:numId="18">
    <w:abstractNumId w:val="29"/>
  </w:num>
  <w:num w:numId="19">
    <w:abstractNumId w:val="5"/>
  </w:num>
  <w:num w:numId="20">
    <w:abstractNumId w:val="23"/>
  </w:num>
  <w:num w:numId="21">
    <w:abstractNumId w:val="13"/>
  </w:num>
  <w:num w:numId="22">
    <w:abstractNumId w:val="14"/>
  </w:num>
  <w:num w:numId="23">
    <w:abstractNumId w:val="24"/>
  </w:num>
  <w:num w:numId="24">
    <w:abstractNumId w:val="26"/>
  </w:num>
  <w:num w:numId="25">
    <w:abstractNumId w:val="6"/>
  </w:num>
  <w:num w:numId="26">
    <w:abstractNumId w:val="16"/>
  </w:num>
  <w:num w:numId="27">
    <w:abstractNumId w:val="18"/>
  </w:num>
  <w:num w:numId="28">
    <w:abstractNumId w:val="1"/>
  </w:num>
  <w:num w:numId="29">
    <w:abstractNumId w:val="4"/>
  </w:num>
  <w:num w:numId="30">
    <w:abstractNumId w:val="20"/>
  </w:num>
  <w:num w:numId="31">
    <w:abstractNumId w:val="11"/>
  </w:num>
  <w:num w:numId="32">
    <w:abstractNumId w:val="1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43F0"/>
    <w:rsid w:val="00075D4C"/>
    <w:rsid w:val="000D04A5"/>
    <w:rsid w:val="00104579"/>
    <w:rsid w:val="00151971"/>
    <w:rsid w:val="00194192"/>
    <w:rsid w:val="00195FEB"/>
    <w:rsid w:val="001E2351"/>
    <w:rsid w:val="002618E3"/>
    <w:rsid w:val="002B66F4"/>
    <w:rsid w:val="002D7AC6"/>
    <w:rsid w:val="002F223F"/>
    <w:rsid w:val="00310DF0"/>
    <w:rsid w:val="00331203"/>
    <w:rsid w:val="003A01A5"/>
    <w:rsid w:val="003D33C8"/>
    <w:rsid w:val="003F64C0"/>
    <w:rsid w:val="00400917"/>
    <w:rsid w:val="00445ABB"/>
    <w:rsid w:val="00461565"/>
    <w:rsid w:val="00495D50"/>
    <w:rsid w:val="004B7494"/>
    <w:rsid w:val="004E2743"/>
    <w:rsid w:val="005140F8"/>
    <w:rsid w:val="00525195"/>
    <w:rsid w:val="005C0D2F"/>
    <w:rsid w:val="005E254C"/>
    <w:rsid w:val="0060330E"/>
    <w:rsid w:val="006044A3"/>
    <w:rsid w:val="00666A91"/>
    <w:rsid w:val="00675073"/>
    <w:rsid w:val="00696F04"/>
    <w:rsid w:val="00747A9B"/>
    <w:rsid w:val="0075445E"/>
    <w:rsid w:val="00782A64"/>
    <w:rsid w:val="007920EC"/>
    <w:rsid w:val="007D46FC"/>
    <w:rsid w:val="00804E85"/>
    <w:rsid w:val="008052DE"/>
    <w:rsid w:val="00825136"/>
    <w:rsid w:val="00845026"/>
    <w:rsid w:val="008E5493"/>
    <w:rsid w:val="00904E2A"/>
    <w:rsid w:val="00936492"/>
    <w:rsid w:val="0094557E"/>
    <w:rsid w:val="00994C43"/>
    <w:rsid w:val="009B1CE7"/>
    <w:rsid w:val="009C00CB"/>
    <w:rsid w:val="00A0487A"/>
    <w:rsid w:val="00A0594E"/>
    <w:rsid w:val="00A46322"/>
    <w:rsid w:val="00A76582"/>
    <w:rsid w:val="00A92D57"/>
    <w:rsid w:val="00AD6EFF"/>
    <w:rsid w:val="00B2517C"/>
    <w:rsid w:val="00B430D0"/>
    <w:rsid w:val="00B51A9D"/>
    <w:rsid w:val="00B76AF3"/>
    <w:rsid w:val="00B96B9F"/>
    <w:rsid w:val="00BA3150"/>
    <w:rsid w:val="00BD5BED"/>
    <w:rsid w:val="00BD6076"/>
    <w:rsid w:val="00BF4EE4"/>
    <w:rsid w:val="00BF591A"/>
    <w:rsid w:val="00BF5AAE"/>
    <w:rsid w:val="00C23B04"/>
    <w:rsid w:val="00C60CF3"/>
    <w:rsid w:val="00CC2809"/>
    <w:rsid w:val="00CD1351"/>
    <w:rsid w:val="00D21078"/>
    <w:rsid w:val="00D63D7E"/>
    <w:rsid w:val="00DE3FAB"/>
    <w:rsid w:val="00E6373B"/>
    <w:rsid w:val="00EA5468"/>
    <w:rsid w:val="00EA7E69"/>
    <w:rsid w:val="00EB3E93"/>
    <w:rsid w:val="00EC3A4C"/>
    <w:rsid w:val="00ED3775"/>
    <w:rsid w:val="00F24FCB"/>
    <w:rsid w:val="00F27053"/>
    <w:rsid w:val="00F9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5483-2B70-4B39-886F-9225FB71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2022-06-30T07:57:00Z</dcterms:created>
  <dcterms:modified xsi:type="dcterms:W3CDTF">2022-07-23T07:28:00Z</dcterms:modified>
</cp:coreProperties>
</file>