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06232A" w:rsidRDefault="00814467" w:rsidP="00814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3321">
        <w:rPr>
          <w:rFonts w:ascii="Times New Roman" w:hAnsi="Times New Roman" w:cs="Times New Roman"/>
          <w:b/>
          <w:sz w:val="24"/>
          <w:szCs w:val="24"/>
          <w:u w:val="single"/>
        </w:rPr>
        <w:t>SMT1224-AFEREZ LÖKOFEREZ SETİ</w:t>
      </w:r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06232A" w:rsidTr="00D537B1">
        <w:trPr>
          <w:trHeight w:val="1467"/>
        </w:trPr>
        <w:tc>
          <w:tcPr>
            <w:tcW w:w="1654" w:type="dxa"/>
          </w:tcPr>
          <w:p w:rsidR="00927B9C" w:rsidRPr="0006232A" w:rsidRDefault="00927B9C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927B9C" w:rsidRPr="00814467" w:rsidRDefault="00814467" w:rsidP="0081446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Lökoferez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seti: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hema</w:t>
            </w:r>
            <w:r w:rsidR="000B7C0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kök hücre,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lökoferez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granülosit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süspansiyonu</w:t>
            </w: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işlemlerinde kullanıma uygun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İşlemde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donörden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hastadan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mononükleer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hücreleri toplama becerisine sahip olmalıdır.</w:t>
            </w:r>
          </w:p>
        </w:tc>
      </w:tr>
      <w:tr w:rsidR="00927B9C" w:rsidRPr="0006232A" w:rsidTr="007745B2">
        <w:trPr>
          <w:trHeight w:val="1692"/>
        </w:trPr>
        <w:tc>
          <w:tcPr>
            <w:tcW w:w="1654" w:type="dxa"/>
          </w:tcPr>
          <w:p w:rsidR="00927B9C" w:rsidRPr="0006232A" w:rsidRDefault="00927B9C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814467" w:rsidRPr="004A3321" w:rsidRDefault="00814467" w:rsidP="00D0502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Lökoferez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seti aşağıda belirtilen malzemelerden oluşmalıdır.</w:t>
            </w:r>
          </w:p>
          <w:p w:rsidR="00814467" w:rsidRPr="004A3321" w:rsidRDefault="00814467" w:rsidP="00814467">
            <w:pPr>
              <w:pStyle w:val="ListeParagraf"/>
              <w:numPr>
                <w:ilvl w:val="0"/>
                <w:numId w:val="8"/>
              </w:num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Lökosit ayırma ana seti </w:t>
            </w: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ab/>
              <w:t>1 adet</w:t>
            </w:r>
          </w:p>
          <w:p w:rsidR="00814467" w:rsidRPr="004A3321" w:rsidRDefault="00814467" w:rsidP="00814467">
            <w:pPr>
              <w:pStyle w:val="ListeParagraf"/>
              <w:numPr>
                <w:ilvl w:val="0"/>
                <w:numId w:val="8"/>
              </w:num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iğnesi (16G-17G)</w:t>
            </w: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2 adet</w:t>
            </w:r>
          </w:p>
          <w:p w:rsidR="00814467" w:rsidRDefault="00814467" w:rsidP="00814467">
            <w:pPr>
              <w:pStyle w:val="ListeParagraf"/>
              <w:numPr>
                <w:ilvl w:val="0"/>
                <w:numId w:val="8"/>
              </w:num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ACD solüsyonu</w:t>
            </w: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3 adet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500ml veya 2 adet 750ml</w:t>
            </w:r>
            <w:r w:rsidR="003B1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467">
              <w:rPr>
                <w:rFonts w:ascii="Times New Roman" w:hAnsi="Times New Roman" w:cs="Times New Roman"/>
                <w:sz w:val="24"/>
                <w:szCs w:val="24"/>
              </w:rPr>
              <w:t>Toplam 1500ml ACD solüsyonu verilmelidir.</w:t>
            </w:r>
          </w:p>
          <w:p w:rsidR="00814467" w:rsidRPr="004A3321" w:rsidRDefault="00814467" w:rsidP="00D0502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Alış hattında hem serum hattı, hem ACD-A hattı hem de tam kan hattı bulunmalıdır. Dönüş hattı da serum ve tam kan hattından olmak üzere 2 hattan oluşmalıdır.</w:t>
            </w:r>
          </w:p>
          <w:p w:rsidR="00814467" w:rsidRPr="004A3321" w:rsidRDefault="00814467" w:rsidP="00D0502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Setin içinde ürünlerin süspan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siyonunun toplanacağı en az 500</w:t>
            </w: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ml’lik toplama torbası bulunmalıdır. Ayrıca bu torbalara bağlı ürün kalitesinin sayılabileceği örnek almak için örnek torbası bulunmalıdır. Bu örnek torbasının giriş yeri </w:t>
            </w: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engellemek için kauçuktan yapılmış olmalıdır.</w:t>
            </w:r>
          </w:p>
          <w:p w:rsidR="00814467" w:rsidRPr="00814467" w:rsidRDefault="00814467" w:rsidP="00D0502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Setin içinde prime sonrası sıvılarının toplanacağı bir atık torbası ve ürünün yanında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plazma toplamak için en az 250</w:t>
            </w: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ml hacimde plazma torbası bulunmalıdır.</w:t>
            </w:r>
          </w:p>
        </w:tc>
      </w:tr>
      <w:tr w:rsidR="00927B9C" w:rsidRPr="0006232A" w:rsidTr="00814467">
        <w:trPr>
          <w:trHeight w:val="2795"/>
        </w:trPr>
        <w:tc>
          <w:tcPr>
            <w:tcW w:w="1654" w:type="dxa"/>
          </w:tcPr>
          <w:p w:rsidR="00927B9C" w:rsidRPr="0006232A" w:rsidRDefault="00927B9C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814467" w:rsidRPr="0008636B" w:rsidRDefault="00814467" w:rsidP="0081446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636B">
              <w:rPr>
                <w:rFonts w:ascii="Times New Roman" w:hAnsi="Times New Roman" w:cs="Times New Roman"/>
                <w:sz w:val="24"/>
                <w:szCs w:val="24"/>
              </w:rPr>
              <w:t>Setin santrifüj kemeri tek parça halinde ve cihazın içerisindeki santrifüj sistemine tam uyum sağlayacak şekilde dizayn edilmiş olmalıdır. Santr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ifüje tam kan hattı girmeli ve plazma, eritrosit ve </w:t>
            </w:r>
            <w:r w:rsidRPr="0008636B"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yrımı yapılacak şekilde dizayn </w:t>
            </w:r>
            <w:r w:rsidRPr="0008636B">
              <w:rPr>
                <w:rFonts w:ascii="Times New Roman" w:hAnsi="Times New Roman" w:cs="Times New Roman"/>
                <w:sz w:val="24"/>
                <w:szCs w:val="24"/>
              </w:rPr>
              <w:t>edilmiş olmalıdır.</w:t>
            </w:r>
          </w:p>
          <w:p w:rsidR="007745B2" w:rsidRPr="00814467" w:rsidRDefault="00814467" w:rsidP="0081446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Setin santrifüje girmeden önce bir hava odacığı bulunmalıdır. Bu odacık sete girecek havayı dışarıya atabilecek, fakat sıvıyı dışarıya çıkartmayacak özellikte bir </w:t>
            </w: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membrana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 </w:t>
            </w: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ayrıca dışarıdan gelen havayı ve sıvıyı da setin içerisine almayacak özellikte olmalı ve herhangi bir </w:t>
            </w: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kontaminasyona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izin vermemelidir.</w:t>
            </w:r>
          </w:p>
        </w:tc>
      </w:tr>
      <w:tr w:rsidR="00814467" w:rsidRPr="0006232A" w:rsidTr="00814467">
        <w:trPr>
          <w:trHeight w:val="2395"/>
        </w:trPr>
        <w:tc>
          <w:tcPr>
            <w:tcW w:w="1654" w:type="dxa"/>
          </w:tcPr>
          <w:p w:rsidR="00814467" w:rsidRPr="0006232A" w:rsidRDefault="00814467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986" w:type="dxa"/>
          </w:tcPr>
          <w:p w:rsidR="00814467" w:rsidRPr="004A3321" w:rsidRDefault="00814467" w:rsidP="0081446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Sette dönüş hattında bir hava </w:t>
            </w: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dedektörü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Bu hava </w:t>
            </w: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dedektörü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hastaya ya da </w:t>
            </w: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donöre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gitme ihtimali olan en ufak mikro hava kabarcığını bile tespit edebilmeli ve engellemelidir.</w:t>
            </w:r>
          </w:p>
          <w:p w:rsidR="00814467" w:rsidRDefault="00814467" w:rsidP="0081446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C91"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 dönüş basıncını ayrıca tam kan pompasına girmeden önce alış basıncını ölçebilmelidir. </w:t>
            </w:r>
          </w:p>
          <w:p w:rsidR="008B46A9" w:rsidRPr="00814467" w:rsidRDefault="008B46A9" w:rsidP="0081446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Setin bağlı olduğu cihaz tüm verileri cihaza bağlanan bir yazıcı ile rapor olarak verebilmelidir.</w:t>
            </w:r>
          </w:p>
        </w:tc>
      </w:tr>
      <w:tr w:rsidR="00814467" w:rsidRPr="0006232A" w:rsidTr="00927B9C">
        <w:trPr>
          <w:trHeight w:val="1115"/>
        </w:trPr>
        <w:tc>
          <w:tcPr>
            <w:tcW w:w="1654" w:type="dxa"/>
          </w:tcPr>
          <w:p w:rsidR="00814467" w:rsidRPr="0006232A" w:rsidRDefault="00814467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814467" w:rsidRDefault="00814467" w:rsidP="0081446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>Lökoferez</w:t>
            </w:r>
            <w:proofErr w:type="spellEnd"/>
            <w:r w:rsidRPr="004A3321">
              <w:rPr>
                <w:rFonts w:ascii="Times New Roman" w:hAnsi="Times New Roman" w:cs="Times New Roman"/>
                <w:sz w:val="24"/>
                <w:szCs w:val="24"/>
              </w:rPr>
              <w:t xml:space="preserve"> seti steril edilmiş ve özel ambalajı içinde kullanıma sunulmuş olmalıdır.</w:t>
            </w:r>
          </w:p>
          <w:p w:rsidR="00E23C4F" w:rsidRPr="00814467" w:rsidRDefault="00F14A6B" w:rsidP="0081446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Setler, kurumda mevcut olan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aferez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cihazı ile tam uyumlu çalışabilmeli veya sete uygun </w:t>
            </w:r>
            <w:r w:rsidR="00E23C4F">
              <w:rPr>
                <w:rFonts w:ascii="Times New Roman" w:hAnsi="Times New Roman" w:cs="Times New Roman"/>
                <w:sz w:val="24"/>
                <w:szCs w:val="24"/>
              </w:rPr>
              <w:t>cihaz</w:t>
            </w:r>
            <w:r w:rsidR="002D3E73">
              <w:rPr>
                <w:rFonts w:ascii="Times New Roman" w:hAnsi="Times New Roman" w:cs="Times New Roman"/>
                <w:sz w:val="24"/>
                <w:szCs w:val="24"/>
              </w:rPr>
              <w:t xml:space="preserve"> firma tarafından</w:t>
            </w:r>
            <w:r w:rsidR="00E23C4F">
              <w:rPr>
                <w:rFonts w:ascii="Times New Roman" w:hAnsi="Times New Roman" w:cs="Times New Roman"/>
                <w:sz w:val="24"/>
                <w:szCs w:val="24"/>
              </w:rPr>
              <w:t xml:space="preserve"> hastane kullanımına bırakılmalıdır.</w:t>
            </w:r>
          </w:p>
        </w:tc>
      </w:tr>
    </w:tbl>
    <w:p w:rsidR="00927B9C" w:rsidRPr="0006232A" w:rsidRDefault="00927B9C" w:rsidP="00814467">
      <w:pPr>
        <w:rPr>
          <w:rFonts w:ascii="Times New Roman" w:hAnsi="Times New Roman" w:cs="Times New Roman"/>
          <w:b/>
          <w:sz w:val="24"/>
          <w:szCs w:val="24"/>
        </w:rPr>
      </w:pPr>
    </w:p>
    <w:sectPr w:rsidR="00927B9C" w:rsidRPr="000623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162" w:rsidRDefault="00951162" w:rsidP="003B11F0">
      <w:pPr>
        <w:spacing w:before="0" w:after="0" w:line="240" w:lineRule="auto"/>
      </w:pPr>
      <w:r>
        <w:separator/>
      </w:r>
    </w:p>
  </w:endnote>
  <w:endnote w:type="continuationSeparator" w:id="0">
    <w:p w:rsidR="00951162" w:rsidRDefault="00951162" w:rsidP="003B11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4233594"/>
      <w:docPartObj>
        <w:docPartGallery w:val="Page Numbers (Bottom of Page)"/>
        <w:docPartUnique/>
      </w:docPartObj>
    </w:sdtPr>
    <w:sdtEndPr/>
    <w:sdtContent>
      <w:p w:rsidR="003B11F0" w:rsidRDefault="003B11F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A6B">
          <w:rPr>
            <w:noProof/>
          </w:rPr>
          <w:t>2</w:t>
        </w:r>
        <w:r>
          <w:fldChar w:fldCharType="end"/>
        </w:r>
      </w:p>
    </w:sdtContent>
  </w:sdt>
  <w:p w:rsidR="003B11F0" w:rsidRDefault="003B11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162" w:rsidRDefault="00951162" w:rsidP="003B11F0">
      <w:pPr>
        <w:spacing w:before="0" w:after="0" w:line="240" w:lineRule="auto"/>
      </w:pPr>
      <w:r>
        <w:separator/>
      </w:r>
    </w:p>
  </w:footnote>
  <w:footnote w:type="continuationSeparator" w:id="0">
    <w:p w:rsidR="00951162" w:rsidRDefault="00951162" w:rsidP="003B11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E49"/>
    <w:multiLevelType w:val="hybridMultilevel"/>
    <w:tmpl w:val="81B2267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A58C2"/>
    <w:multiLevelType w:val="hybridMultilevel"/>
    <w:tmpl w:val="CB8426A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55295"/>
    <w:multiLevelType w:val="hybridMultilevel"/>
    <w:tmpl w:val="ED6E134E"/>
    <w:lvl w:ilvl="0" w:tplc="837476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0703EE"/>
    <w:rsid w:val="000B7C0D"/>
    <w:rsid w:val="001307F7"/>
    <w:rsid w:val="001F15B5"/>
    <w:rsid w:val="002D3E73"/>
    <w:rsid w:val="003B11F0"/>
    <w:rsid w:val="00460ABF"/>
    <w:rsid w:val="005D435B"/>
    <w:rsid w:val="006F5AAA"/>
    <w:rsid w:val="007745B2"/>
    <w:rsid w:val="007D1FF3"/>
    <w:rsid w:val="00814467"/>
    <w:rsid w:val="008B46A9"/>
    <w:rsid w:val="00927B9C"/>
    <w:rsid w:val="00951162"/>
    <w:rsid w:val="009D7B3D"/>
    <w:rsid w:val="009F0365"/>
    <w:rsid w:val="00B20AE2"/>
    <w:rsid w:val="00C35B46"/>
    <w:rsid w:val="00C57F07"/>
    <w:rsid w:val="00C7175A"/>
    <w:rsid w:val="00D05025"/>
    <w:rsid w:val="00D3019A"/>
    <w:rsid w:val="00D537B1"/>
    <w:rsid w:val="00E23C4F"/>
    <w:rsid w:val="00E502AC"/>
    <w:rsid w:val="00EA7840"/>
    <w:rsid w:val="00EB0ED7"/>
    <w:rsid w:val="00F14A6B"/>
    <w:rsid w:val="00F4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1301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11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1F0"/>
  </w:style>
  <w:style w:type="paragraph" w:styleId="AltBilgi">
    <w:name w:val="footer"/>
    <w:basedOn w:val="Normal"/>
    <w:link w:val="AltBilgiChar"/>
    <w:uiPriority w:val="99"/>
    <w:unhideWhenUsed/>
    <w:rsid w:val="003B11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Aysu YILMAZ</cp:lastModifiedBy>
  <cp:revision>3</cp:revision>
  <dcterms:created xsi:type="dcterms:W3CDTF">2024-06-03T11:40:00Z</dcterms:created>
  <dcterms:modified xsi:type="dcterms:W3CDTF">2024-06-10T08:38:00Z</dcterms:modified>
</cp:coreProperties>
</file>