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BD46FF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BD46FF" w:rsidRDefault="004B7494" w:rsidP="004B7494">
            <w:pPr>
              <w:pStyle w:val="Balk2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BD46FF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68BBEF70" w:rsidR="00553B72" w:rsidRPr="00553B72" w:rsidRDefault="00553B72" w:rsidP="00553B72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</w:t>
            </w:r>
            <w:r w:rsidR="00922AF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kopik ve açık cerrahi ameliyatlarda </w:t>
            </w:r>
            <w:r w:rsidRPr="00A05365">
              <w:rPr>
                <w:rFonts w:ascii="Times New Roman" w:hAnsi="Times New Roman" w:cs="Times New Roman"/>
                <w:sz w:val="24"/>
                <w:szCs w:val="24"/>
              </w:rPr>
              <w:t>organın rezeksiyonu ve anastomozunu sağlamak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36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macı için tasarlanmış olmalıdır.</w:t>
            </w:r>
          </w:p>
        </w:tc>
      </w:tr>
      <w:tr w:rsidR="004B7494" w:rsidRPr="00BD46FF" w14:paraId="48B12155" w14:textId="77777777" w:rsidTr="00672EE0">
        <w:trPr>
          <w:trHeight w:val="1403"/>
        </w:trPr>
        <w:tc>
          <w:tcPr>
            <w:tcW w:w="1537" w:type="dxa"/>
          </w:tcPr>
          <w:p w14:paraId="0A8AD5BF" w14:textId="77777777" w:rsidR="004B7494" w:rsidRPr="00BD46FF" w:rsidRDefault="004B7494" w:rsidP="004B7494">
            <w:pPr>
              <w:pStyle w:val="Balk2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BD46FF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BD46FF" w:rsidRDefault="004B7494" w:rsidP="004B7494">
            <w:pPr>
              <w:pStyle w:val="Balk2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6A30E04" w14:textId="77777777" w:rsidR="003129B3" w:rsidRDefault="00511AEF" w:rsidP="003129B3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360" w:lineRule="auto"/>
              <w:ind w:left="1077" w:right="159" w:hanging="357"/>
              <w:jc w:val="both"/>
              <w:rPr>
                <w:rFonts w:eastAsia="Calibri"/>
                <w:lang w:eastAsia="en-US"/>
              </w:rPr>
            </w:pPr>
            <w:r w:rsidRPr="003129B3">
              <w:rPr>
                <w:rFonts w:eastAsia="Calibri"/>
                <w:lang w:eastAsia="en-US"/>
              </w:rPr>
              <w:t>Y</w:t>
            </w:r>
            <w:r w:rsidR="00344BD5" w:rsidRPr="003129B3">
              <w:rPr>
                <w:rFonts w:eastAsia="Calibri"/>
                <w:lang w:eastAsia="en-US"/>
              </w:rPr>
              <w:t>ükleme ünitesinin çene açılımı 24 (±1) mm olmalıdır.</w:t>
            </w:r>
          </w:p>
          <w:p w14:paraId="02DEEE5A" w14:textId="7440023F" w:rsidR="00344BD5" w:rsidRPr="003129B3" w:rsidRDefault="00344BD5" w:rsidP="003129B3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360" w:lineRule="auto"/>
              <w:ind w:left="1077" w:right="159" w:hanging="357"/>
              <w:jc w:val="both"/>
              <w:rPr>
                <w:rFonts w:eastAsia="Calibri"/>
                <w:lang w:eastAsia="en-US"/>
              </w:rPr>
            </w:pPr>
            <w:r w:rsidRPr="003129B3">
              <w:rPr>
                <w:rFonts w:eastAsia="Calibri"/>
                <w:lang w:eastAsia="en-US"/>
              </w:rPr>
              <w:t xml:space="preserve">Staplerin kartuşundaki    zımba   bacak uzunlukları ateşlemeden önce seçilen kartuş boyuna göre 2,5mm – 3,5 mm </w:t>
            </w:r>
            <w:r w:rsidR="00B15EEA" w:rsidRPr="003129B3">
              <w:rPr>
                <w:rFonts w:eastAsia="Calibri"/>
                <w:lang w:eastAsia="en-US"/>
              </w:rPr>
              <w:t>– 4,2 mm-</w:t>
            </w:r>
            <w:r w:rsidRPr="003129B3">
              <w:rPr>
                <w:rFonts w:eastAsia="Calibri"/>
                <w:lang w:eastAsia="en-US"/>
              </w:rPr>
              <w:t xml:space="preserve"> 4</w:t>
            </w:r>
            <w:r w:rsidR="00B15EEA" w:rsidRPr="003129B3">
              <w:rPr>
                <w:rFonts w:eastAsia="Calibri"/>
                <w:lang w:eastAsia="en-US"/>
              </w:rPr>
              <w:t>,</w:t>
            </w:r>
            <w:r w:rsidRPr="003129B3">
              <w:rPr>
                <w:rFonts w:eastAsia="Calibri"/>
                <w:lang w:eastAsia="en-US"/>
              </w:rPr>
              <w:t>8 mm, arasında ateşlemeden sonra 1,0 mm – 1,5 mm –</w:t>
            </w:r>
            <w:r w:rsidR="00B15EEA" w:rsidRPr="003129B3">
              <w:rPr>
                <w:rFonts w:eastAsia="Calibri"/>
                <w:lang w:eastAsia="en-US"/>
              </w:rPr>
              <w:t>1,8 mm-</w:t>
            </w:r>
            <w:r w:rsidRPr="003129B3">
              <w:rPr>
                <w:rFonts w:eastAsia="Calibri"/>
                <w:lang w:eastAsia="en-US"/>
              </w:rPr>
              <w:t xml:space="preserve"> 2,0 mm olmalıdır.</w:t>
            </w:r>
          </w:p>
          <w:p w14:paraId="3B425AD0" w14:textId="0B7DB27E" w:rsidR="00344BD5" w:rsidRPr="00553B72" w:rsidRDefault="00344BD5" w:rsidP="003129B3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360" w:lineRule="auto"/>
              <w:ind w:left="1077" w:right="159" w:hanging="357"/>
              <w:jc w:val="both"/>
            </w:pPr>
            <w:r w:rsidRPr="008B72B8">
              <w:rPr>
                <w:rFonts w:eastAsia="Calibri"/>
                <w:lang w:eastAsia="en-US"/>
              </w:rPr>
              <w:t>Kendinden kartuşlu yükleme ünitesi içinde en fazla 90 adet titanyum alaşım</w:t>
            </w:r>
            <w:r w:rsidR="000F429E">
              <w:rPr>
                <w:rFonts w:eastAsia="Calibri"/>
                <w:lang w:eastAsia="en-US"/>
              </w:rPr>
              <w:t xml:space="preserve"> </w:t>
            </w:r>
            <w:r w:rsidRPr="008B72B8">
              <w:rPr>
                <w:rFonts w:eastAsia="Calibri"/>
                <w:lang w:eastAsia="en-US"/>
              </w:rPr>
              <w:t>zımba bulunmalı ve</w:t>
            </w:r>
            <w:r w:rsidR="00B86A35">
              <w:rPr>
                <w:rFonts w:eastAsia="Calibri"/>
                <w:lang w:eastAsia="en-US"/>
              </w:rPr>
              <w:t xml:space="preserve"> </w:t>
            </w:r>
            <w:r w:rsidRPr="008B72B8">
              <w:rPr>
                <w:rFonts w:eastAsia="Calibri"/>
                <w:lang w:eastAsia="en-US"/>
              </w:rPr>
              <w:t>zımbaların çapları   0.22 (±0,5) mm      olmalıdır.</w:t>
            </w:r>
          </w:p>
          <w:p w14:paraId="11D8E40A" w14:textId="13E2EBB0" w:rsidR="00553B72" w:rsidRPr="008B72B8" w:rsidRDefault="00553B72" w:rsidP="003129B3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360" w:lineRule="auto"/>
              <w:ind w:left="1077" w:right="159" w:hanging="357"/>
              <w:jc w:val="both"/>
            </w:pPr>
            <w:r>
              <w:t>Farklı dokulara uygun boyutta zımba kullan</w:t>
            </w:r>
            <w:r w:rsidR="000F429E">
              <w:t xml:space="preserve">ılırken, </w:t>
            </w:r>
            <w:r>
              <w:t>çift sıralı üç hat boyunca</w:t>
            </w:r>
            <w:r w:rsidR="003129B3">
              <w:t xml:space="preserve"> </w:t>
            </w:r>
            <w:r>
              <w:t>kapama ve kesme yapmalıdır.</w:t>
            </w:r>
          </w:p>
        </w:tc>
      </w:tr>
      <w:tr w:rsidR="003129B3" w:rsidRPr="00BD46FF" w14:paraId="52552CF8" w14:textId="77777777" w:rsidTr="00672EE0">
        <w:trPr>
          <w:trHeight w:val="1403"/>
        </w:trPr>
        <w:tc>
          <w:tcPr>
            <w:tcW w:w="1537" w:type="dxa"/>
          </w:tcPr>
          <w:p w14:paraId="2B3458D1" w14:textId="77777777" w:rsidR="003129B3" w:rsidRPr="00BD46FF" w:rsidRDefault="003129B3" w:rsidP="003129B3">
            <w:pPr>
              <w:pStyle w:val="Balk2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BD46FF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Teknik Özellikleri: </w:t>
            </w:r>
          </w:p>
          <w:p w14:paraId="0798E645" w14:textId="77777777" w:rsidR="003129B3" w:rsidRPr="00BD46FF" w:rsidRDefault="003129B3" w:rsidP="003129B3">
            <w:pPr>
              <w:pStyle w:val="Balk2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6FB4C8C" w14:textId="77777777" w:rsidR="003129B3" w:rsidRDefault="003129B3" w:rsidP="003129B3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360" w:lineRule="auto"/>
              <w:ind w:right="157"/>
              <w:jc w:val="both"/>
              <w:rPr>
                <w:rFonts w:eastAsia="Calibri"/>
                <w:lang w:eastAsia="en-US"/>
              </w:rPr>
            </w:pPr>
            <w:r w:rsidRPr="008B72B8">
              <w:rPr>
                <w:rFonts w:eastAsia="Calibri"/>
                <w:lang w:eastAsia="en-US"/>
              </w:rPr>
              <w:t>Kendinden kartuşlu yükleme ünitesi ateşleme esnasında sabit kalmalı ve dokuyu deforme etmemek için staplere doğru çekilmemelidir.</w:t>
            </w:r>
          </w:p>
          <w:p w14:paraId="01B48396" w14:textId="77777777" w:rsidR="003129B3" w:rsidRPr="008B72B8" w:rsidRDefault="003129B3" w:rsidP="003129B3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360" w:lineRule="auto"/>
              <w:ind w:right="157"/>
              <w:jc w:val="both"/>
              <w:rPr>
                <w:rFonts w:eastAsia="Calibri"/>
                <w:lang w:eastAsia="en-US"/>
              </w:rPr>
            </w:pPr>
            <w:r w:rsidRPr="008B72B8">
              <w:rPr>
                <w:rFonts w:eastAsia="Calibri"/>
                <w:lang w:eastAsia="en-US"/>
              </w:rPr>
              <w:t>Kendinden kartuşlu yükleme ünitesi üzerinde metrik çizgiler yer almalıdır.</w:t>
            </w:r>
          </w:p>
          <w:p w14:paraId="0528B41D" w14:textId="77777777" w:rsidR="003129B3" w:rsidRPr="008B72B8" w:rsidRDefault="003129B3" w:rsidP="003129B3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360" w:lineRule="auto"/>
              <w:ind w:right="157"/>
              <w:jc w:val="both"/>
              <w:rPr>
                <w:rFonts w:eastAsia="Calibri"/>
                <w:lang w:eastAsia="en-US"/>
              </w:rPr>
            </w:pPr>
            <w:r w:rsidRPr="008B72B8">
              <w:rPr>
                <w:rFonts w:eastAsia="Calibri"/>
                <w:lang w:eastAsia="en-US"/>
              </w:rPr>
              <w:t>Kendinden kartuşlu yükleme ünitesi şaftının uzunluğu 9.5(±1) cm olmalıdır.</w:t>
            </w:r>
          </w:p>
          <w:p w14:paraId="05926CDF" w14:textId="12162F8D" w:rsidR="003129B3" w:rsidRDefault="003129B3" w:rsidP="003129B3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360" w:lineRule="auto"/>
              <w:ind w:right="157"/>
              <w:jc w:val="both"/>
              <w:rPr>
                <w:rFonts w:eastAsia="Calibri"/>
                <w:lang w:eastAsia="en-US"/>
              </w:rPr>
            </w:pPr>
            <w:r w:rsidRPr="008B72B8">
              <w:rPr>
                <w:rFonts w:eastAsia="Calibri"/>
                <w:lang w:eastAsia="en-US"/>
              </w:rPr>
              <w:t>Yükleme ünitesi şaftının ucunda bulunan işaretli kanal sayesinde staplere kolaylıkla kilitlenebilme özelliğine sahip olmalıdır.</w:t>
            </w:r>
          </w:p>
          <w:p w14:paraId="0FC6A283" w14:textId="4590F226" w:rsidR="003129B3" w:rsidRPr="003129B3" w:rsidRDefault="003129B3" w:rsidP="003129B3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360" w:lineRule="auto"/>
              <w:ind w:right="157"/>
              <w:jc w:val="both"/>
              <w:rPr>
                <w:rFonts w:eastAsia="Calibri"/>
                <w:lang w:eastAsia="en-US"/>
              </w:rPr>
            </w:pPr>
            <w:r w:rsidRPr="008B72B8">
              <w:rPr>
                <w:rFonts w:eastAsia="Calibri"/>
                <w:lang w:eastAsia="en-US"/>
              </w:rPr>
              <w:t>Yükleme butonu üzerindeki kırmızı belirteç sayesinde yükleme ünitelerini doğru yüklendiği teyit edilebilmelidir. Beraber kullanılacağı staplerin tutacı kapatılıp istenildiği anda ileri itilip pratik bir şekilde tekrar açılarak grasping özelliği sağlamalıdır.</w:t>
            </w:r>
            <w:r w:rsidRPr="00B15EEA">
              <w:rPr>
                <w:rFonts w:eastAsia="Calibri"/>
                <w:lang w:eastAsia="en-US"/>
              </w:rPr>
              <w:t xml:space="preserve"> Veya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15EEA">
              <w:rPr>
                <w:rFonts w:eastAsia="Calibri"/>
                <w:lang w:eastAsia="en-US"/>
              </w:rPr>
              <w:t>yükleme ünitelerinin staplerden kolayca ayrılabilmesi için, yükleme butonu şaftın ucunda olmalıdır.</w:t>
            </w:r>
            <w:r w:rsidRPr="008B72B8">
              <w:rPr>
                <w:rFonts w:eastAsia="Calibri"/>
                <w:lang w:eastAsia="en-US"/>
              </w:rPr>
              <w:t xml:space="preserve"> </w:t>
            </w:r>
            <w:r w:rsidRPr="00B15EEA">
              <w:rPr>
                <w:rFonts w:eastAsia="Calibri"/>
                <w:lang w:eastAsia="en-US"/>
              </w:rPr>
              <w:t>Beraber kullanılacağı staplerin tutacı kapatılarak çene kapatılmalı açılmak istenildiğinde metrik penceredeki ma</w:t>
            </w:r>
            <w:r>
              <w:rPr>
                <w:rFonts w:eastAsia="Calibri"/>
                <w:lang w:eastAsia="en-US"/>
              </w:rPr>
              <w:t>n</w:t>
            </w:r>
            <w:r w:rsidRPr="00B15EEA">
              <w:rPr>
                <w:rFonts w:eastAsia="Calibri"/>
                <w:lang w:eastAsia="en-US"/>
              </w:rPr>
              <w:t>dal geri çekilerek çene açılmalıdır.</w:t>
            </w:r>
          </w:p>
        </w:tc>
      </w:tr>
      <w:tr w:rsidR="003129B3" w:rsidRPr="00BD46FF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3129B3" w:rsidRPr="00BD46FF" w:rsidRDefault="003129B3" w:rsidP="003129B3">
            <w:pPr>
              <w:pStyle w:val="Balk2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BD46FF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393B9397" w14:textId="77777777" w:rsidR="003129B3" w:rsidRPr="00BD46FF" w:rsidRDefault="003129B3" w:rsidP="003129B3">
            <w:pPr>
              <w:pStyle w:val="Balk2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B15D1CB" w14:textId="524F3671" w:rsidR="003129B3" w:rsidRPr="008B72B8" w:rsidRDefault="003129B3" w:rsidP="003129B3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360" w:lineRule="auto"/>
              <w:ind w:right="157"/>
              <w:jc w:val="both"/>
              <w:rPr>
                <w:rFonts w:eastAsia="Calibri"/>
                <w:lang w:eastAsia="en-US"/>
              </w:rPr>
            </w:pPr>
            <w:r w:rsidRPr="008B72B8">
              <w:rPr>
                <w:rFonts w:eastAsia="Calibri"/>
                <w:lang w:eastAsia="en-US"/>
              </w:rPr>
              <w:t>Yükleme ünitelerinin staplerden kolayca ayrılabilmesi için, yükleme butonu şaftın ucunda değil rotasyon kolunu alt kısmında mavi buton şeklinde olmalıdır.</w:t>
            </w:r>
          </w:p>
        </w:tc>
      </w:tr>
      <w:tr w:rsidR="003129B3" w:rsidRPr="00BD46FF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3129B3" w:rsidRPr="00BD46FF" w:rsidRDefault="003129B3" w:rsidP="003129B3">
            <w:pPr>
              <w:pStyle w:val="Balk2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BD46FF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3129B3" w:rsidRPr="00BD46FF" w:rsidRDefault="003129B3" w:rsidP="003129B3">
            <w:pPr>
              <w:pStyle w:val="Balk2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6458A36" w14:textId="77777777" w:rsidR="003129B3" w:rsidRDefault="003129B3" w:rsidP="003129B3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360" w:lineRule="auto"/>
              <w:ind w:right="2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2E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Ürünler orijinal ambalajında, steril ve tek kullanımlık olmalıdır.</w:t>
            </w:r>
          </w:p>
          <w:p w14:paraId="42DA1A07" w14:textId="5422F158" w:rsidR="003129B3" w:rsidRPr="00B15EEA" w:rsidRDefault="003129B3" w:rsidP="003129B3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 ambalajı üzerinde son kullanma tarihi, UBB ve Lot bilgisi bulunmalıdır.</w:t>
            </w:r>
          </w:p>
          <w:p w14:paraId="1B153529" w14:textId="525AF675" w:rsidR="003129B3" w:rsidRPr="009D1673" w:rsidRDefault="003129B3" w:rsidP="003129B3">
            <w:pPr>
              <w:shd w:val="clear" w:color="auto" w:fill="FFFFFF"/>
              <w:spacing w:before="120" w:after="120" w:line="360" w:lineRule="auto"/>
              <w:ind w:left="720" w:right="1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BD46FF" w:rsidRDefault="00331203" w:rsidP="00331203">
      <w:pPr>
        <w:pStyle w:val="ListeParagraf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331203" w:rsidRPr="00BD46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C2349" w14:textId="77777777" w:rsidR="009001C2" w:rsidRDefault="009001C2" w:rsidP="00B2517C">
      <w:pPr>
        <w:spacing w:after="0" w:line="240" w:lineRule="auto"/>
      </w:pPr>
      <w:r>
        <w:separator/>
      </w:r>
    </w:p>
  </w:endnote>
  <w:endnote w:type="continuationSeparator" w:id="0">
    <w:p w14:paraId="7916AEED" w14:textId="77777777" w:rsidR="009001C2" w:rsidRDefault="009001C2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FAA11" w14:textId="77777777" w:rsidR="009001C2" w:rsidRDefault="009001C2" w:rsidP="00B2517C">
      <w:pPr>
        <w:spacing w:after="0" w:line="240" w:lineRule="auto"/>
      </w:pPr>
      <w:r>
        <w:separator/>
      </w:r>
    </w:p>
  </w:footnote>
  <w:footnote w:type="continuationSeparator" w:id="0">
    <w:p w14:paraId="4A59B0ED" w14:textId="77777777" w:rsidR="009001C2" w:rsidRDefault="009001C2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AA38" w14:textId="6F124EF7" w:rsidR="008B72B8" w:rsidRPr="007677D4" w:rsidRDefault="008B72B8" w:rsidP="008B72B8">
    <w:pPr>
      <w:pStyle w:val="NormalWeb"/>
      <w:shd w:val="clear" w:color="auto" w:fill="FFFFFF"/>
      <w:spacing w:before="120" w:beforeAutospacing="0" w:after="120" w:afterAutospacing="0" w:line="360" w:lineRule="auto"/>
      <w:rPr>
        <w:rFonts w:ascii="Segoe UI" w:hAnsi="Segoe UI" w:cs="Segoe UI"/>
        <w:color w:val="343434"/>
        <w:sz w:val="21"/>
        <w:szCs w:val="21"/>
        <w:shd w:val="clear" w:color="auto" w:fill="FFFFFF"/>
      </w:rPr>
    </w:pPr>
    <w:r w:rsidRPr="007677D4">
      <w:rPr>
        <w:b/>
      </w:rPr>
      <w:t>SMT1290</w:t>
    </w:r>
    <w:r w:rsidR="00B15EEA" w:rsidRPr="007677D4">
      <w:rPr>
        <w:b/>
      </w:rPr>
      <w:t xml:space="preserve"> </w:t>
    </w:r>
    <w:r w:rsidRPr="007677D4">
      <w:rPr>
        <w:b/>
      </w:rPr>
      <w:t>STAPLER KARTUŞU, LİNEER KAPATICI-KESİCİ, LAPAROSKOPİK, OYNAR BAŞLIKLI, DÜZ KARTUŞ YÜZEYİ</w:t>
    </w:r>
  </w:p>
  <w:p w14:paraId="23BC4C16" w14:textId="53954EB7" w:rsidR="00B2517C" w:rsidRPr="002858A7" w:rsidRDefault="00B2517C" w:rsidP="002858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6D6611"/>
    <w:multiLevelType w:val="hybridMultilevel"/>
    <w:tmpl w:val="9F94675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40822"/>
    <w:multiLevelType w:val="multilevel"/>
    <w:tmpl w:val="33A4082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8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40CE5"/>
    <w:multiLevelType w:val="hybridMultilevel"/>
    <w:tmpl w:val="DF12689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348BD6"/>
    <w:multiLevelType w:val="singleLevel"/>
    <w:tmpl w:val="5D348BD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17626"/>
    <w:multiLevelType w:val="hybridMultilevel"/>
    <w:tmpl w:val="0B9805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143D6"/>
    <w:multiLevelType w:val="hybridMultilevel"/>
    <w:tmpl w:val="A3FCAAC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90D90"/>
    <w:multiLevelType w:val="hybridMultilevel"/>
    <w:tmpl w:val="73840F6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7980562">
    <w:abstractNumId w:val="4"/>
  </w:num>
  <w:num w:numId="2" w16cid:durableId="1260598915">
    <w:abstractNumId w:val="2"/>
  </w:num>
  <w:num w:numId="3" w16cid:durableId="3284805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6378403">
    <w:abstractNumId w:val="16"/>
  </w:num>
  <w:num w:numId="5" w16cid:durableId="1164005699">
    <w:abstractNumId w:val="0"/>
  </w:num>
  <w:num w:numId="6" w16cid:durableId="1196112755">
    <w:abstractNumId w:val="1"/>
  </w:num>
  <w:num w:numId="7" w16cid:durableId="743650347">
    <w:abstractNumId w:val="12"/>
  </w:num>
  <w:num w:numId="8" w16cid:durableId="735514779">
    <w:abstractNumId w:val="10"/>
  </w:num>
  <w:num w:numId="9" w16cid:durableId="375085096">
    <w:abstractNumId w:val="5"/>
  </w:num>
  <w:num w:numId="10" w16cid:durableId="753746761">
    <w:abstractNumId w:val="14"/>
  </w:num>
  <w:num w:numId="11" w16cid:durableId="1202090589">
    <w:abstractNumId w:val="6"/>
  </w:num>
  <w:num w:numId="12" w16cid:durableId="576521940">
    <w:abstractNumId w:val="8"/>
  </w:num>
  <w:num w:numId="13" w16cid:durableId="654651891">
    <w:abstractNumId w:val="7"/>
  </w:num>
  <w:num w:numId="14" w16cid:durableId="86968871">
    <w:abstractNumId w:val="17"/>
  </w:num>
  <w:num w:numId="15" w16cid:durableId="744231091">
    <w:abstractNumId w:val="11"/>
  </w:num>
  <w:num w:numId="16" w16cid:durableId="1928339269">
    <w:abstractNumId w:val="15"/>
  </w:num>
  <w:num w:numId="17" w16cid:durableId="2021858037">
    <w:abstractNumId w:val="3"/>
  </w:num>
  <w:num w:numId="18" w16cid:durableId="6111318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A66B6"/>
    <w:rsid w:val="000D04A5"/>
    <w:rsid w:val="000D7300"/>
    <w:rsid w:val="000F429E"/>
    <w:rsid w:val="00104579"/>
    <w:rsid w:val="00194192"/>
    <w:rsid w:val="00195FEB"/>
    <w:rsid w:val="002220FC"/>
    <w:rsid w:val="002618E3"/>
    <w:rsid w:val="002858A7"/>
    <w:rsid w:val="002B66F4"/>
    <w:rsid w:val="002D79E8"/>
    <w:rsid w:val="002E1788"/>
    <w:rsid w:val="00311837"/>
    <w:rsid w:val="003129B3"/>
    <w:rsid w:val="00331203"/>
    <w:rsid w:val="00344BD5"/>
    <w:rsid w:val="00381497"/>
    <w:rsid w:val="003904DE"/>
    <w:rsid w:val="00445ABB"/>
    <w:rsid w:val="004B7494"/>
    <w:rsid w:val="00511AEF"/>
    <w:rsid w:val="00553B72"/>
    <w:rsid w:val="005A1795"/>
    <w:rsid w:val="005C0D2F"/>
    <w:rsid w:val="005E254C"/>
    <w:rsid w:val="005E426C"/>
    <w:rsid w:val="0060330E"/>
    <w:rsid w:val="00672EE0"/>
    <w:rsid w:val="00696A45"/>
    <w:rsid w:val="00747A9B"/>
    <w:rsid w:val="0075692A"/>
    <w:rsid w:val="007677D4"/>
    <w:rsid w:val="007920EC"/>
    <w:rsid w:val="007C0463"/>
    <w:rsid w:val="007E6733"/>
    <w:rsid w:val="008809A1"/>
    <w:rsid w:val="008B72B8"/>
    <w:rsid w:val="009001C2"/>
    <w:rsid w:val="00922AF6"/>
    <w:rsid w:val="00936492"/>
    <w:rsid w:val="009904A3"/>
    <w:rsid w:val="009D1673"/>
    <w:rsid w:val="00A0594E"/>
    <w:rsid w:val="00A76582"/>
    <w:rsid w:val="00A86A4F"/>
    <w:rsid w:val="00B15EEA"/>
    <w:rsid w:val="00B2517C"/>
    <w:rsid w:val="00B86A35"/>
    <w:rsid w:val="00BA3150"/>
    <w:rsid w:val="00BA7F76"/>
    <w:rsid w:val="00BB7DD6"/>
    <w:rsid w:val="00BD46FF"/>
    <w:rsid w:val="00BD6076"/>
    <w:rsid w:val="00BF4EE4"/>
    <w:rsid w:val="00BF5AAE"/>
    <w:rsid w:val="00C60CF3"/>
    <w:rsid w:val="00CC30C5"/>
    <w:rsid w:val="00CF1333"/>
    <w:rsid w:val="00D21078"/>
    <w:rsid w:val="00D536E5"/>
    <w:rsid w:val="00DE3FAB"/>
    <w:rsid w:val="00E41FA7"/>
    <w:rsid w:val="00EC7B00"/>
    <w:rsid w:val="00ED3775"/>
    <w:rsid w:val="00F20C46"/>
    <w:rsid w:val="00F242BC"/>
    <w:rsid w:val="00FE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NormalWeb">
    <w:name w:val="Normal (Web)"/>
    <w:basedOn w:val="Normal"/>
    <w:uiPriority w:val="99"/>
    <w:unhideWhenUsed/>
    <w:qFormat/>
    <w:rsid w:val="008B7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D0C2A-BF46-4EE4-ABA9-D9901F36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Gulsah</cp:lastModifiedBy>
  <cp:revision>2</cp:revision>
  <dcterms:created xsi:type="dcterms:W3CDTF">2022-07-25T14:23:00Z</dcterms:created>
  <dcterms:modified xsi:type="dcterms:W3CDTF">2022-07-25T14:23:00Z</dcterms:modified>
</cp:coreProperties>
</file>