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7D12" w:rsidRPr="00C924FB" w14:paraId="5791AC46" w14:textId="77777777" w:rsidTr="001102CB">
        <w:trPr>
          <w:trHeight w:val="992"/>
        </w:trPr>
        <w:tc>
          <w:tcPr>
            <w:tcW w:w="1537" w:type="dxa"/>
          </w:tcPr>
          <w:p w14:paraId="6B57E4C5" w14:textId="77777777" w:rsidR="004B7494" w:rsidRPr="00C924FB" w:rsidRDefault="004B7494" w:rsidP="00AF038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43A6B7" w14:textId="452EDF28" w:rsidR="004B7494" w:rsidRPr="001E6F28" w:rsidRDefault="003E2453" w:rsidP="000A1CD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Ürün, n</w:t>
            </w:r>
            <w:r w:rsidR="001A558A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egatif basınç yardımıyla </w:t>
            </w:r>
            <w:r w:rsidR="00F74708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yara kapama tedavisine destek olmak </w:t>
            </w:r>
            <w:r w:rsidR="00F75DFF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</w:t>
            </w:r>
            <w:r w:rsidR="008B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5DFF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açlı</w:t>
            </w:r>
            <w:proofErr w:type="spellEnd"/>
            <w:r w:rsidR="00F75DFF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üretilmiş olmalıdır.</w:t>
            </w:r>
          </w:p>
        </w:tc>
      </w:tr>
      <w:tr w:rsidR="00267D12" w:rsidRPr="00C924FB" w14:paraId="48B12155" w14:textId="77777777" w:rsidTr="001102CB">
        <w:trPr>
          <w:trHeight w:val="1475"/>
        </w:trPr>
        <w:tc>
          <w:tcPr>
            <w:tcW w:w="1537" w:type="dxa"/>
          </w:tcPr>
          <w:p w14:paraId="0A8AD5BF" w14:textId="77777777" w:rsidR="004B7494" w:rsidRPr="00C924FB" w:rsidRDefault="004B7494" w:rsidP="00AF038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C924FB" w:rsidRDefault="004B7494" w:rsidP="00AF038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80A4B4" w14:textId="79C32FEE" w:rsidR="00D96126" w:rsidRDefault="00D96126" w:rsidP="000A1CDD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bookmarkStart w:id="0" w:name="_Hlk56775494"/>
            <w:r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Kapama seti içindeki özel olarak üretilmiş pansumanın hammaddesi topikal yara solüsyonlarının yara yatağına eşit dağılımını ve çekilebilmesini sağlamak amacıyla </w:t>
            </w:r>
            <w:r w:rsidR="001E6F28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poliüretan veya</w:t>
            </w:r>
            <w:r w:rsid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poliüretan ester özellikte olmalıdır.</w:t>
            </w:r>
            <w:r w:rsidR="008443EE"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bookmarkEnd w:id="0"/>
          </w:p>
          <w:p w14:paraId="1CF7DEF1" w14:textId="057789DD" w:rsidR="00C924FB" w:rsidRPr="003E2453" w:rsidRDefault="001E6F28" w:rsidP="003E2453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Ürünün büyük, orta, küçük boyları olmalıdır.</w:t>
            </w:r>
          </w:p>
        </w:tc>
      </w:tr>
      <w:tr w:rsidR="000A1CDD" w:rsidRPr="00C924FB" w14:paraId="69434882" w14:textId="77777777" w:rsidTr="001102CB">
        <w:trPr>
          <w:trHeight w:val="1475"/>
        </w:trPr>
        <w:tc>
          <w:tcPr>
            <w:tcW w:w="1537" w:type="dxa"/>
          </w:tcPr>
          <w:p w14:paraId="4497EDA6" w14:textId="77777777" w:rsidR="000A1CDD" w:rsidRPr="00C924FB" w:rsidRDefault="000A1CDD" w:rsidP="00AF038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DC33C5" w14:textId="726AB266" w:rsidR="008B3895" w:rsidRPr="00AE17C0" w:rsidRDefault="008B3895" w:rsidP="000965B5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seti, y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 tedavisinde en etkin sonucu alabilmek amacıyla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negative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basıncı tüm yara yüzeyine homojen dağıtabilecek hidrofobik özellikte ve açık, gözenekli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yapıda olmalıdır.</w:t>
            </w:r>
          </w:p>
          <w:p w14:paraId="34BAF47E" w14:textId="77777777" w:rsidR="008B3895" w:rsidRDefault="008B3895" w:rsidP="000965B5">
            <w:pPr>
              <w:pStyle w:val="GvdeMetni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Kapama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seti içerisinde pansuman ile terapi ünitesi arasında ki bağlantıyı sağlayan bir düzenek olarak bağlantı hortumu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bulunur.</w:t>
            </w:r>
          </w:p>
          <w:p w14:paraId="03425D25" w14:textId="77777777" w:rsidR="008B3895" w:rsidRPr="00BE1DB1" w:rsidRDefault="008B3895" w:rsidP="000965B5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 içerisinde yaradaki sızdırmazlığı sağlayan şeffaf, steril drep bulunmalıdır. Drep, maserasyon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pozisyon değişimi gibi etmenlere karşı dayanıklığını ve bütünlüğünü koruyan özellikte olmalıdır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068D323E" w14:textId="5FC08881" w:rsidR="008B3895" w:rsidRDefault="008B3895" w:rsidP="000965B5">
            <w:pPr>
              <w:pStyle w:val="GvdeMetni"/>
              <w:numPr>
                <w:ilvl w:val="0"/>
                <w:numId w:val="25"/>
              </w:numPr>
              <w:tabs>
                <w:tab w:val="left" w:pos="56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Kapama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seti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ağlantı hortumunun belirli süre hasta ile terapi ünitesini ayırmaya olanak sağlayacak bağlantı yeri ve klempleri bulunmalıdır.</w:t>
            </w:r>
          </w:p>
          <w:p w14:paraId="784198CC" w14:textId="2A5F6EB6" w:rsidR="00427F54" w:rsidRPr="00427F54" w:rsidRDefault="00427F54" w:rsidP="000965B5">
            <w:pPr>
              <w:pStyle w:val="GvdeMetni"/>
              <w:numPr>
                <w:ilvl w:val="0"/>
                <w:numId w:val="25"/>
              </w:numPr>
              <w:tabs>
                <w:tab w:val="left" w:pos="567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Kapama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seti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içerisindeki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pansuman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ıslak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koşullar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altında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yırtılmaya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karşı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dayanıklı</w:t>
            </w:r>
            <w:proofErr w:type="spellEnd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olmalıdır</w:t>
            </w:r>
            <w:proofErr w:type="spellEnd"/>
            <w:r w:rsidR="00116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79CEFB9" w14:textId="77777777" w:rsidR="00427F54" w:rsidRPr="001E6F28" w:rsidRDefault="00427F54" w:rsidP="000965B5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Kapama seti, terapi ünitesine takılarak yara 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atağına sıvı iletimini sağlayan aparat </w:t>
            </w:r>
            <w:r w:rsidRPr="001E6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ile uyumlu çalışmalıdır ve steril olmalıdır.</w:t>
            </w:r>
          </w:p>
          <w:p w14:paraId="73BA92C1" w14:textId="4E2A6836" w:rsidR="00427F54" w:rsidRDefault="00427F54" w:rsidP="000965B5">
            <w:pPr>
              <w:pStyle w:val="Default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1E6F28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Yıkama sıvısı steril ambalajından çekilerek, steril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aparat</w:t>
            </w:r>
            <w:r w:rsidRPr="00A84041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 xml:space="preserve"> </w:t>
            </w:r>
            <w:r w:rsidRPr="001E6F28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ve bağlantı hortumu aracılığıyla, cihaz içerisine girmeden ve </w:t>
            </w:r>
            <w:r w:rsidR="000035AC" w:rsidRPr="001E6F28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sterilizesi</w:t>
            </w:r>
            <w:r w:rsidRPr="001E6F28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bozulmadan otomatik biçimde negatif basınç devre dışı kalarak yara yatağına iletilmeli, burada istenilen belirli süre boyunca sıvının bekletilmesi sağlanmalı ve bekletme süresinin ardından negatif basınç devreye girerek sıvının çekilmesi sağlanmalıdır.</w:t>
            </w:r>
          </w:p>
          <w:p w14:paraId="4BECCFA2" w14:textId="63367051" w:rsidR="000965B5" w:rsidRPr="000965B5" w:rsidRDefault="000965B5" w:rsidP="000965B5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742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Kapama seti, terapi ünitesi ile uyumlu olmalıdır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1384D099" w14:textId="6E54DA37" w:rsidR="000A1CDD" w:rsidRPr="008F5882" w:rsidRDefault="000A1CDD" w:rsidP="00427F54">
            <w:pPr>
              <w:pStyle w:val="ListeParagraf"/>
              <w:spacing w:before="120" w:after="120" w:line="360" w:lineRule="auto"/>
              <w:ind w:left="1077"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1CDD" w:rsidRPr="00C924FB" w14:paraId="00B5A50A" w14:textId="77777777" w:rsidTr="001102CB">
        <w:trPr>
          <w:trHeight w:val="11135"/>
        </w:trPr>
        <w:tc>
          <w:tcPr>
            <w:tcW w:w="1537" w:type="dxa"/>
          </w:tcPr>
          <w:p w14:paraId="15A9DE3F" w14:textId="77777777" w:rsidR="000A1CDD" w:rsidRPr="00C924FB" w:rsidRDefault="000A1CDD" w:rsidP="001E6F28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14:paraId="70C6A473" w14:textId="77777777" w:rsidR="000A1CDD" w:rsidRPr="00C924FB" w:rsidRDefault="000A1CDD" w:rsidP="000A1CDD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050DAA8" w14:textId="69DE1DA5" w:rsidR="00427F54" w:rsidRPr="000F53E1" w:rsidRDefault="00427F54" w:rsidP="00600094">
            <w:pPr>
              <w:pStyle w:val="GvdeMetni"/>
              <w:numPr>
                <w:ilvl w:val="0"/>
                <w:numId w:val="25"/>
              </w:numPr>
              <w:tabs>
                <w:tab w:val="left" w:pos="567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</w:pPr>
            <w:r w:rsidRPr="000F53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Kapama seti ile kullanılan terapi ünitesi; </w:t>
            </w:r>
          </w:p>
          <w:p w14:paraId="18E140D1" w14:textId="77777777" w:rsidR="00427F54" w:rsidRPr="00AE17C0" w:rsidRDefault="00427F54" w:rsidP="00427F54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egative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basınçta sapma göstermeden basıncı iletebilmelidir. (±5mmHg standart sapma dahilindedir)</w:t>
            </w:r>
          </w:p>
          <w:p w14:paraId="14805DFB" w14:textId="77777777" w:rsidR="00427F54" w:rsidRDefault="00427F54" w:rsidP="00427F54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ürekli ve aralıklı olmak üzere en az iki farklı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modda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negative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basinç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sağlamalıdır. (Aralıklı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modda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hastada oluşacak ağrıyı azaltmak ve pansumanın bozulması engellemek amacıyla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negative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basinç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hiçbir aşamada sıfırlanmamalıdır ve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basinç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azalışları/artışları yavaş bir şekilde gerçekleştirilmelidir.)</w:t>
            </w:r>
          </w:p>
          <w:p w14:paraId="24571FB5" w14:textId="77777777" w:rsidR="00427F54" w:rsidRPr="00427F54" w:rsidRDefault="00427F54" w:rsidP="00427F54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erhang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sızıntı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tıkanıklık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batarya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toplama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kabı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doluluğu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problemler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olduğunda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sesli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görsel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 xml:space="preserve"> alarm </w:t>
            </w:r>
            <w:proofErr w:type="spellStart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vermelidir</w:t>
            </w:r>
            <w:proofErr w:type="spellEnd"/>
            <w:r w:rsidRPr="00BC0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014AE0" w14:textId="77777777" w:rsidR="00BD02FE" w:rsidRPr="00BD02FE" w:rsidRDefault="00427F54" w:rsidP="00BD02FE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427F54">
              <w:rPr>
                <w:rFonts w:ascii="Times New Roman" w:hAnsi="Times New Roman" w:cs="Times New Roman"/>
              </w:rPr>
              <w:t>Kapama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setinin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bağlantı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hortumunun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herhangi </w:t>
            </w:r>
            <w:proofErr w:type="spellStart"/>
            <w:r w:rsidRPr="00427F54">
              <w:rPr>
                <w:rFonts w:ascii="Times New Roman" w:hAnsi="Times New Roman" w:cs="Times New Roman"/>
              </w:rPr>
              <w:t>bir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noktasında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kapalı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olması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durumunda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veya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pansumandaki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olası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basınç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iletim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sorunlarında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terapi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ünitesi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tıkanıklık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uyarısı</w:t>
            </w:r>
            <w:proofErr w:type="spellEnd"/>
            <w:r w:rsidRPr="004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F54">
              <w:rPr>
                <w:rFonts w:ascii="Times New Roman" w:hAnsi="Times New Roman" w:cs="Times New Roman"/>
              </w:rPr>
              <w:t>vermelidir</w:t>
            </w:r>
            <w:proofErr w:type="spellEnd"/>
            <w:r w:rsidRPr="00427F54">
              <w:rPr>
                <w:rFonts w:ascii="Times New Roman" w:hAnsi="Times New Roman" w:cs="Times New Roman"/>
              </w:rPr>
              <w:t>.</w:t>
            </w:r>
          </w:p>
          <w:p w14:paraId="441ADF68" w14:textId="4EBB8C46" w:rsidR="0031008A" w:rsidRPr="00BD02FE" w:rsidRDefault="000A1CDD" w:rsidP="00BD02FE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50mmHg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ile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200 mmHg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olacak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şekilde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negatif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basınç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değerlerine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ulaşabilmelidir</w:t>
            </w:r>
            <w:proofErr w:type="spellEnd"/>
            <w:r w:rsidRPr="00BD02F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F9BD57F" w14:textId="4FDC4B48" w:rsidR="0031008A" w:rsidRPr="0031008A" w:rsidRDefault="00BD02FE" w:rsidP="0031008A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Ü</w:t>
            </w:r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zerinden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sıvı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iletildikten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sonra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ayarlanabilir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zamanlarda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yara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yatağında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sıvının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bekletilmesi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gerçekleştirilebilmelidir</w:t>
            </w:r>
            <w:proofErr w:type="spellEnd"/>
          </w:p>
          <w:p w14:paraId="643173C1" w14:textId="68071639" w:rsidR="0031008A" w:rsidRPr="0031008A" w:rsidRDefault="00BD02FE" w:rsidP="0031008A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Ü</w:t>
            </w:r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zerinden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tedavinin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başlangıç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fazı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yıkama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fazı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veya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negatif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basınç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fazı</w:t>
            </w:r>
            <w:proofErr w:type="spellEnd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0A1CDD"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belirlenebilmelidir</w:t>
            </w:r>
            <w:proofErr w:type="spellEnd"/>
          </w:p>
          <w:p w14:paraId="0F9FCE2F" w14:textId="03A7576C" w:rsidR="000A1CDD" w:rsidRPr="00370623" w:rsidRDefault="000A1CDD" w:rsidP="00370623">
            <w:pPr>
              <w:pStyle w:val="GvdeMetni"/>
              <w:numPr>
                <w:ilvl w:val="0"/>
                <w:numId w:val="33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Terapi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ünitesi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üzerinde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solüsyon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torbasının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takılabileceği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askı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aparatı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bulunmalı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veya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cihaz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üzerindeki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yuvasına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takılabilmelidir</w:t>
            </w:r>
            <w:proofErr w:type="spellEnd"/>
            <w:r w:rsidRPr="0031008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8B3895" w:rsidRPr="00C924FB" w14:paraId="74394F1C" w14:textId="77777777" w:rsidTr="001102CB">
        <w:trPr>
          <w:trHeight w:val="13310"/>
        </w:trPr>
        <w:tc>
          <w:tcPr>
            <w:tcW w:w="1537" w:type="dxa"/>
          </w:tcPr>
          <w:p w14:paraId="7C8D9269" w14:textId="2B20D0A9" w:rsidR="008B3895" w:rsidRDefault="008B3895" w:rsidP="008B389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F1B0F3" w14:textId="2969C8FE" w:rsidR="008B3895" w:rsidRDefault="008B3895" w:rsidP="008B3895"/>
          <w:p w14:paraId="3BDA2E09" w14:textId="77777777" w:rsidR="008B3895" w:rsidRPr="00C924FB" w:rsidRDefault="008B3895" w:rsidP="008B389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5A5081ED" w14:textId="77777777" w:rsidR="008B3895" w:rsidRPr="000A1CDD" w:rsidRDefault="008B3895" w:rsidP="008B3895">
            <w:pPr>
              <w:jc w:val="center"/>
            </w:pPr>
          </w:p>
        </w:tc>
        <w:tc>
          <w:tcPr>
            <w:tcW w:w="8303" w:type="dxa"/>
            <w:shd w:val="clear" w:color="auto" w:fill="auto"/>
          </w:tcPr>
          <w:p w14:paraId="04D7DB24" w14:textId="77777777" w:rsidR="008B3895" w:rsidRPr="00AE17C0" w:rsidRDefault="008B3895" w:rsidP="00617921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 tek kullanımlık, steril ve orijinal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ambalajında olmalıdır.</w:t>
            </w:r>
          </w:p>
          <w:p w14:paraId="67FE9AAA" w14:textId="77777777" w:rsidR="008B3895" w:rsidRDefault="008B3895" w:rsidP="0061792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17C0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Pr="00AE17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D805A81" w14:textId="77777777" w:rsidR="008B3895" w:rsidRPr="000F53E1" w:rsidRDefault="008B3895" w:rsidP="0061792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3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3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Kurumun Firmadan alabileceği Klinik Destek Hizmetleri kapsamında;</w:t>
            </w:r>
          </w:p>
          <w:p w14:paraId="301CCC2C" w14:textId="77777777" w:rsidR="008B3895" w:rsidRDefault="008B3895" w:rsidP="008B389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</w:t>
            </w:r>
            <w:r w:rsidRPr="00AE17C0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eğitim konusunda ürün kullanılan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meliyathane,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linik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vb.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yerlerde ilgi ürünü kullanacak olan personele ilk teslimatın yapıldığı zamanda eğitim vermelidir.</w:t>
            </w:r>
          </w:p>
          <w:p w14:paraId="5BD18E7F" w14:textId="77777777" w:rsidR="008B3895" w:rsidRDefault="008B3895" w:rsidP="008B389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</w:t>
            </w:r>
            <w:r w:rsidRPr="00AE17C0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>ilk teslimat son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>sı eğitimi bire bir verilmelidir.</w:t>
            </w:r>
          </w:p>
          <w:p w14:paraId="72F8678E" w14:textId="77777777" w:rsidR="008B3895" w:rsidRPr="00D76E58" w:rsidRDefault="008B3895" w:rsidP="008B389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>Eğitimler kurum talebi olması durumunda periyodik aralıklarla devam etmelidir. Periyodik eğitimler çeşitli eğitim yöntemlerinden (görsel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video, ses kaydı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>kullanım kılavuzu, yüz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6E58">
              <w:rPr>
                <w:rFonts w:ascii="Times New Roman" w:eastAsia="Calibri" w:hAnsi="Times New Roman" w:cs="Times New Roman"/>
                <w:sz w:val="24"/>
                <w:szCs w:val="24"/>
              </w:rPr>
              <w:t>yüze eğitim) biri veya birkaçı ile verilmelidir.</w:t>
            </w:r>
          </w:p>
          <w:p w14:paraId="3EA9AA8C" w14:textId="77777777" w:rsidR="008B3895" w:rsidRPr="000F53E1" w:rsidRDefault="008B3895" w:rsidP="0061792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F53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Kurumun firmadan alabileceği Klinik Teknik Destek Hizmeti kapsamında:</w:t>
            </w:r>
          </w:p>
          <w:p w14:paraId="0E008F5C" w14:textId="4D647DF4" w:rsidR="008B3895" w:rsidRDefault="008B3895" w:rsidP="008B3895">
            <w:pPr>
              <w:pStyle w:val="ListeParagraf"/>
              <w:numPr>
                <w:ilvl w:val="0"/>
                <w:numId w:val="30"/>
              </w:numPr>
              <w:tabs>
                <w:tab w:val="left" w:pos="92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Yüklenici f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irma mevcut cihazlarda arıza olması halinde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hastane arıza durumunu bildirdiği an itibariyle </w:t>
            </w:r>
            <w:r w:rsidR="001102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saat içerisinde arızalı cihaz teslim 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arak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, yerine yeni cihaz teslim etmelidir.</w:t>
            </w:r>
          </w:p>
          <w:p w14:paraId="46886F5F" w14:textId="77777777" w:rsidR="008B3895" w:rsidRPr="009D1538" w:rsidRDefault="008B3895" w:rsidP="008B3895">
            <w:pPr>
              <w:pStyle w:val="ListeParagraf"/>
              <w:numPr>
                <w:ilvl w:val="0"/>
                <w:numId w:val="30"/>
              </w:numPr>
              <w:tabs>
                <w:tab w:val="left" w:pos="92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Yüklenici f</w:t>
            </w:r>
            <w:r w:rsidRPr="009D15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irma kuruma herhangi bir olumsuzluk durumunda tedaviyi aksatmayacak şekilde veya mevcut cihaz sayısı yeterli olmadığı durumlarda kullanılmak üzere yedek cihaz bırakmalıdır. </w:t>
            </w:r>
          </w:p>
          <w:p w14:paraId="339980CF" w14:textId="77777777" w:rsidR="00DF0E07" w:rsidRPr="00260C6A" w:rsidRDefault="001102CB" w:rsidP="00DF0E07">
            <w:pPr>
              <w:pStyle w:val="GvdeMetni"/>
              <w:numPr>
                <w:ilvl w:val="0"/>
                <w:numId w:val="25"/>
              </w:numPr>
              <w:tabs>
                <w:tab w:val="left" w:pos="5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Yüklenici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E17C0">
              <w:rPr>
                <w:rFonts w:ascii="Times New Roman" w:hAnsi="Times New Roman" w:cs="Times New Roman"/>
                <w:sz w:val="24"/>
                <w:szCs w:val="24"/>
              </w:rPr>
              <w:t>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ihtiyaç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cihazı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sağlamakla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yükümlüdür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36B7E2" w14:textId="058E0075" w:rsidR="00260C6A" w:rsidRPr="00DF0E07" w:rsidRDefault="00260C6A" w:rsidP="00DF0E07">
            <w:pPr>
              <w:pStyle w:val="GvdeMetni"/>
              <w:numPr>
                <w:ilvl w:val="0"/>
                <w:numId w:val="25"/>
              </w:numPr>
              <w:tabs>
                <w:tab w:val="left" w:pos="5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aşamasında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şartnamedeki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özellikleri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kanıtlayan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kataloğunu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özelliklerini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ispatlar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özellikteki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ibraz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zorundadır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600EF8" w14:textId="77777777" w:rsidR="00B0259F" w:rsidRPr="0013129E" w:rsidRDefault="00B0259F" w:rsidP="00AF038A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B0259F" w:rsidRPr="0013129E" w:rsidSect="000A1CDD">
      <w:headerReference w:type="default" r:id="rId11"/>
      <w:footerReference w:type="default" r:id="rId12"/>
      <w:pgSz w:w="11906" w:h="16838"/>
      <w:pgMar w:top="113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5951" w14:textId="77777777" w:rsidR="001E4526" w:rsidRDefault="001E4526" w:rsidP="00B2517C">
      <w:pPr>
        <w:spacing w:after="0" w:line="240" w:lineRule="auto"/>
      </w:pPr>
      <w:r>
        <w:separator/>
      </w:r>
    </w:p>
  </w:endnote>
  <w:endnote w:type="continuationSeparator" w:id="0">
    <w:p w14:paraId="45511E47" w14:textId="77777777" w:rsidR="001E4526" w:rsidRDefault="001E452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39542"/>
      <w:docPartObj>
        <w:docPartGallery w:val="Page Numbers (Bottom of Page)"/>
        <w:docPartUnique/>
      </w:docPartObj>
    </w:sdtPr>
    <w:sdtEndPr/>
    <w:sdtContent>
      <w:p w14:paraId="3CB5D025" w14:textId="68FBF7FC" w:rsidR="007D12F4" w:rsidRDefault="007D12F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DD">
          <w:rPr>
            <w:noProof/>
          </w:rPr>
          <w:t>1</w:t>
        </w:r>
        <w:r>
          <w:fldChar w:fldCharType="end"/>
        </w:r>
      </w:p>
    </w:sdtContent>
  </w:sdt>
  <w:p w14:paraId="7F3997BD" w14:textId="77777777" w:rsidR="007D12F4" w:rsidRDefault="007D12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FCED" w14:textId="77777777" w:rsidR="001E4526" w:rsidRDefault="001E4526" w:rsidP="00B2517C">
      <w:pPr>
        <w:spacing w:after="0" w:line="240" w:lineRule="auto"/>
      </w:pPr>
      <w:r>
        <w:separator/>
      </w:r>
    </w:p>
  </w:footnote>
  <w:footnote w:type="continuationSeparator" w:id="0">
    <w:p w14:paraId="1973AF58" w14:textId="77777777" w:rsidR="001E4526" w:rsidRDefault="001E452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460C8550" w:rsidR="00B2517C" w:rsidRPr="008B3895" w:rsidRDefault="000A1CDD" w:rsidP="000E23A3">
    <w:pPr>
      <w:pStyle w:val="stBilgi"/>
    </w:pPr>
    <w:r w:rsidRPr="008B3895">
      <w:rPr>
        <w:rFonts w:ascii="Times New Roman" w:hAnsi="Times New Roman" w:cs="Times New Roman"/>
        <w:b/>
        <w:sz w:val="24"/>
        <w:szCs w:val="24"/>
      </w:rPr>
      <w:t>S</w:t>
    </w:r>
    <w:r w:rsidR="000E23A3" w:rsidRPr="008B3895">
      <w:rPr>
        <w:rFonts w:ascii="Times New Roman" w:hAnsi="Times New Roman" w:cs="Times New Roman"/>
        <w:b/>
        <w:sz w:val="24"/>
        <w:szCs w:val="24"/>
      </w:rPr>
      <w:t>MT1375 VAKUM YARDIMLI KAPAMA SETİ, YIKAMALI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DBCFB"/>
    <w:multiLevelType w:val="singleLevel"/>
    <w:tmpl w:val="B0FDBC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AA04BF1"/>
    <w:multiLevelType w:val="hybridMultilevel"/>
    <w:tmpl w:val="416A0F28"/>
    <w:lvl w:ilvl="0" w:tplc="041F0019">
      <w:start w:val="1"/>
      <w:numFmt w:val="lowerLetter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9D3"/>
    <w:multiLevelType w:val="singleLevel"/>
    <w:tmpl w:val="0F5C79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5" w15:restartNumberingAfterBreak="0">
    <w:nsid w:val="181462D5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5959D8"/>
    <w:multiLevelType w:val="hybridMultilevel"/>
    <w:tmpl w:val="11E265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13C"/>
    <w:multiLevelType w:val="hybridMultilevel"/>
    <w:tmpl w:val="1A9AE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BBC2"/>
    <w:multiLevelType w:val="singleLevel"/>
    <w:tmpl w:val="2412BBC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2B4F21CD"/>
    <w:multiLevelType w:val="hybridMultilevel"/>
    <w:tmpl w:val="F7F2B68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00F1D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46A4C"/>
    <w:multiLevelType w:val="hybridMultilevel"/>
    <w:tmpl w:val="57ACF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47DDA"/>
    <w:multiLevelType w:val="hybridMultilevel"/>
    <w:tmpl w:val="B406F1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5099E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C7EBA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0A30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824BB"/>
    <w:multiLevelType w:val="hybridMultilevel"/>
    <w:tmpl w:val="8DD840A8"/>
    <w:lvl w:ilvl="0" w:tplc="0E66A9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36213A"/>
    <w:multiLevelType w:val="hybridMultilevel"/>
    <w:tmpl w:val="CEC020C8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88B0A97"/>
    <w:multiLevelType w:val="hybridMultilevel"/>
    <w:tmpl w:val="CE7631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F94"/>
    <w:multiLevelType w:val="hybridMultilevel"/>
    <w:tmpl w:val="BE7E8F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5D09"/>
    <w:multiLevelType w:val="hybridMultilevel"/>
    <w:tmpl w:val="D5B888DC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3770545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97DF7"/>
    <w:multiLevelType w:val="hybridMultilevel"/>
    <w:tmpl w:val="02F26172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317EF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D6D79"/>
    <w:multiLevelType w:val="hybridMultilevel"/>
    <w:tmpl w:val="242C27A4"/>
    <w:lvl w:ilvl="0" w:tplc="0E66A93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A607D3"/>
    <w:multiLevelType w:val="hybridMultilevel"/>
    <w:tmpl w:val="11425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60AB9"/>
    <w:multiLevelType w:val="hybridMultilevel"/>
    <w:tmpl w:val="F8E29BF2"/>
    <w:lvl w:ilvl="0" w:tplc="041F0019">
      <w:start w:val="1"/>
      <w:numFmt w:val="lowerLetter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4949EE"/>
    <w:multiLevelType w:val="hybridMultilevel"/>
    <w:tmpl w:val="F5F0C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0C04"/>
    <w:multiLevelType w:val="hybridMultilevel"/>
    <w:tmpl w:val="692E62C4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94B1329"/>
    <w:multiLevelType w:val="hybridMultilevel"/>
    <w:tmpl w:val="A340658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</w:num>
  <w:num w:numId="6">
    <w:abstractNumId w:val="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9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8"/>
  </w:num>
  <w:num w:numId="16">
    <w:abstractNumId w:val="24"/>
  </w:num>
  <w:num w:numId="17">
    <w:abstractNumId w:val="11"/>
  </w:num>
  <w:num w:numId="18">
    <w:abstractNumId w:val="31"/>
  </w:num>
  <w:num w:numId="19">
    <w:abstractNumId w:val="28"/>
  </w:num>
  <w:num w:numId="20">
    <w:abstractNumId w:val="33"/>
  </w:num>
  <w:num w:numId="21">
    <w:abstractNumId w:val="21"/>
  </w:num>
  <w:num w:numId="22">
    <w:abstractNumId w:val="19"/>
  </w:num>
  <w:num w:numId="23">
    <w:abstractNumId w:val="10"/>
  </w:num>
  <w:num w:numId="24">
    <w:abstractNumId w:val="13"/>
  </w:num>
  <w:num w:numId="25">
    <w:abstractNumId w:val="25"/>
  </w:num>
  <w:num w:numId="26">
    <w:abstractNumId w:val="1"/>
  </w:num>
  <w:num w:numId="27">
    <w:abstractNumId w:val="29"/>
  </w:num>
  <w:num w:numId="28">
    <w:abstractNumId w:val="8"/>
  </w:num>
  <w:num w:numId="29">
    <w:abstractNumId w:val="32"/>
  </w:num>
  <w:num w:numId="30">
    <w:abstractNumId w:val="20"/>
  </w:num>
  <w:num w:numId="31">
    <w:abstractNumId w:val="27"/>
  </w:num>
  <w:num w:numId="32">
    <w:abstractNumId w:val="7"/>
  </w:num>
  <w:num w:numId="33">
    <w:abstractNumId w:val="2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5AC"/>
    <w:rsid w:val="000425D9"/>
    <w:rsid w:val="000965B5"/>
    <w:rsid w:val="000A1CDD"/>
    <w:rsid w:val="000B4F9C"/>
    <w:rsid w:val="000D04A5"/>
    <w:rsid w:val="000E23A3"/>
    <w:rsid w:val="000F53E1"/>
    <w:rsid w:val="000F71C6"/>
    <w:rsid w:val="00104579"/>
    <w:rsid w:val="001102CB"/>
    <w:rsid w:val="00116F54"/>
    <w:rsid w:val="0013129E"/>
    <w:rsid w:val="001534B7"/>
    <w:rsid w:val="00190B57"/>
    <w:rsid w:val="00194192"/>
    <w:rsid w:val="00195FEB"/>
    <w:rsid w:val="001A558A"/>
    <w:rsid w:val="001E4526"/>
    <w:rsid w:val="001E6F28"/>
    <w:rsid w:val="001F1EF0"/>
    <w:rsid w:val="001F631C"/>
    <w:rsid w:val="00201504"/>
    <w:rsid w:val="00260C6A"/>
    <w:rsid w:val="002618E3"/>
    <w:rsid w:val="00267D12"/>
    <w:rsid w:val="00287015"/>
    <w:rsid w:val="002B66F4"/>
    <w:rsid w:val="0031008A"/>
    <w:rsid w:val="00331203"/>
    <w:rsid w:val="0033703D"/>
    <w:rsid w:val="00354715"/>
    <w:rsid w:val="00370623"/>
    <w:rsid w:val="003B1BB0"/>
    <w:rsid w:val="003E2453"/>
    <w:rsid w:val="003F5813"/>
    <w:rsid w:val="00427F54"/>
    <w:rsid w:val="0048029B"/>
    <w:rsid w:val="00486F70"/>
    <w:rsid w:val="004A07DD"/>
    <w:rsid w:val="004B15B3"/>
    <w:rsid w:val="004B7494"/>
    <w:rsid w:val="004E2421"/>
    <w:rsid w:val="004E5DF2"/>
    <w:rsid w:val="004F5FAC"/>
    <w:rsid w:val="005147CE"/>
    <w:rsid w:val="00537B70"/>
    <w:rsid w:val="00592A2D"/>
    <w:rsid w:val="005B39C7"/>
    <w:rsid w:val="005C0D2F"/>
    <w:rsid w:val="005C0ED1"/>
    <w:rsid w:val="005D05D8"/>
    <w:rsid w:val="00600094"/>
    <w:rsid w:val="0060330E"/>
    <w:rsid w:val="00611E0F"/>
    <w:rsid w:val="00617921"/>
    <w:rsid w:val="00626CE0"/>
    <w:rsid w:val="00656114"/>
    <w:rsid w:val="006876C1"/>
    <w:rsid w:val="006C1766"/>
    <w:rsid w:val="006C59EA"/>
    <w:rsid w:val="006C5D36"/>
    <w:rsid w:val="006E49A1"/>
    <w:rsid w:val="00700F3F"/>
    <w:rsid w:val="00741B9E"/>
    <w:rsid w:val="00747A9B"/>
    <w:rsid w:val="007B6486"/>
    <w:rsid w:val="007C246B"/>
    <w:rsid w:val="007D12F4"/>
    <w:rsid w:val="008134DD"/>
    <w:rsid w:val="008137D8"/>
    <w:rsid w:val="008443EE"/>
    <w:rsid w:val="008A1392"/>
    <w:rsid w:val="008B0AC5"/>
    <w:rsid w:val="008B3895"/>
    <w:rsid w:val="008C6BD1"/>
    <w:rsid w:val="008F5882"/>
    <w:rsid w:val="00936492"/>
    <w:rsid w:val="009641B1"/>
    <w:rsid w:val="00986AEB"/>
    <w:rsid w:val="0098744E"/>
    <w:rsid w:val="009A0B15"/>
    <w:rsid w:val="009B5C78"/>
    <w:rsid w:val="009C3797"/>
    <w:rsid w:val="00A0594E"/>
    <w:rsid w:val="00A431B6"/>
    <w:rsid w:val="00A76582"/>
    <w:rsid w:val="00A84041"/>
    <w:rsid w:val="00AB00E6"/>
    <w:rsid w:val="00AF038A"/>
    <w:rsid w:val="00B0259F"/>
    <w:rsid w:val="00B2517C"/>
    <w:rsid w:val="00BA3150"/>
    <w:rsid w:val="00BC400C"/>
    <w:rsid w:val="00BD02FE"/>
    <w:rsid w:val="00BD6076"/>
    <w:rsid w:val="00BF4EE4"/>
    <w:rsid w:val="00BF5AAE"/>
    <w:rsid w:val="00C0462C"/>
    <w:rsid w:val="00C0581D"/>
    <w:rsid w:val="00C90DA0"/>
    <w:rsid w:val="00C924FB"/>
    <w:rsid w:val="00C94B27"/>
    <w:rsid w:val="00CC3A89"/>
    <w:rsid w:val="00D21078"/>
    <w:rsid w:val="00D92D7B"/>
    <w:rsid w:val="00D9514D"/>
    <w:rsid w:val="00D96126"/>
    <w:rsid w:val="00DB53C1"/>
    <w:rsid w:val="00DE3FAB"/>
    <w:rsid w:val="00DF0E07"/>
    <w:rsid w:val="00E56347"/>
    <w:rsid w:val="00E77177"/>
    <w:rsid w:val="00ED3775"/>
    <w:rsid w:val="00EE66BD"/>
    <w:rsid w:val="00F13C00"/>
    <w:rsid w:val="00F74708"/>
    <w:rsid w:val="00F75DFF"/>
    <w:rsid w:val="00F90495"/>
    <w:rsid w:val="00F95860"/>
    <w:rsid w:val="00FA0EC1"/>
    <w:rsid w:val="00FB1EA5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1A558A"/>
    <w:pPr>
      <w:widowControl w:val="0"/>
      <w:spacing w:after="200" w:line="276" w:lineRule="auto"/>
      <w:ind w:left="534" w:hanging="428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58A"/>
    <w:rPr>
      <w:rFonts w:ascii="Calibri" w:eastAsia="Calibri" w:hAnsi="Calibri"/>
      <w:lang w:val="en-US"/>
    </w:rPr>
  </w:style>
  <w:style w:type="character" w:customStyle="1" w:styleId="Gvdemetni0">
    <w:name w:val="Gövde metni_"/>
    <w:basedOn w:val="VarsaylanParagrafYazTipi"/>
    <w:link w:val="Gvdemetni1"/>
    <w:rsid w:val="001A558A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558A"/>
    <w:pPr>
      <w:shd w:val="clear" w:color="auto" w:fill="FFFFFF"/>
      <w:spacing w:after="180" w:line="0" w:lineRule="atLeast"/>
    </w:pPr>
    <w:rPr>
      <w:sz w:val="23"/>
      <w:szCs w:val="23"/>
    </w:rPr>
  </w:style>
  <w:style w:type="paragraph" w:customStyle="1" w:styleId="Gvdemetni10">
    <w:name w:val="Gövde metni1"/>
    <w:basedOn w:val="Normal"/>
    <w:uiPriority w:val="99"/>
    <w:rsid w:val="001A558A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  <w:style w:type="paragraph" w:customStyle="1" w:styleId="Default">
    <w:name w:val="Default"/>
    <w:rsid w:val="009B5C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862E88B048949BE4810261C4E0C08" ma:contentTypeVersion="12" ma:contentTypeDescription="Create a new document." ma:contentTypeScope="" ma:versionID="7ec8010e922415f2973c96c4479fabd1">
  <xsd:schema xmlns:xsd="http://www.w3.org/2001/XMLSchema" xmlns:xs="http://www.w3.org/2001/XMLSchema" xmlns:p="http://schemas.microsoft.com/office/2006/metadata/properties" xmlns:ns3="d83392d3-0e0b-44db-a797-1d14c6263e8a" xmlns:ns4="b30627d3-a907-4b57-9ed3-20d3a74325bf" targetNamespace="http://schemas.microsoft.com/office/2006/metadata/properties" ma:root="true" ma:fieldsID="012907da019e42a7fa678d59b65eab75" ns3:_="" ns4:_="">
    <xsd:import namespace="d83392d3-0e0b-44db-a797-1d14c6263e8a"/>
    <xsd:import namespace="b30627d3-a907-4b57-9ed3-20d3a7432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92d3-0e0b-44db-a797-1d14c6263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27d3-a907-4b57-9ed3-20d3a743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961F-1B33-4726-A335-DA456DE3B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A04FA-E981-433A-BC22-5E8EDB8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392d3-0e0b-44db-a797-1d14c6263e8a"/>
    <ds:schemaRef ds:uri="b30627d3-a907-4b57-9ed3-20d3a743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AFCDF-BD1E-4711-9E28-AB7CDF755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FCB15-BCB1-4139-B1C7-076A1ACF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14</cp:revision>
  <dcterms:created xsi:type="dcterms:W3CDTF">2022-11-08T10:42:00Z</dcterms:created>
  <dcterms:modified xsi:type="dcterms:W3CDTF">2025-11-17T07:45:00Z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0x0101002E7862E88B048949BE4810261C4E0C08</vt:lpwstr>
  </property>
</Properties>
</file>