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8242"/>
      </w:tblGrid>
      <w:tr w:rsidR="00773F55" w14:paraId="5D73C61D" w14:textId="77777777" w:rsidTr="00116BF6">
        <w:trPr>
          <w:trHeight w:val="1351"/>
        </w:trPr>
        <w:tc>
          <w:tcPr>
            <w:tcW w:w="1537" w:type="dxa"/>
          </w:tcPr>
          <w:p w14:paraId="5D9AEE9F" w14:textId="77777777" w:rsidR="00773F55" w:rsidRPr="004B7494" w:rsidRDefault="00773F55" w:rsidP="00116BF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BC130A4" w14:textId="77777777" w:rsidR="00773F55" w:rsidRPr="00D47C93" w:rsidRDefault="00773F55" w:rsidP="00773F55">
            <w:pPr>
              <w:pStyle w:val="ListeParagraf"/>
              <w:numPr>
                <w:ilvl w:val="0"/>
                <w:numId w:val="1"/>
              </w:numPr>
              <w:tabs>
                <w:tab w:val="left" w:pos="425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E">
              <w:rPr>
                <w:rFonts w:ascii="Times New Roman" w:hAnsi="Times New Roman" w:cs="Times New Roman"/>
                <w:sz w:val="24"/>
                <w:szCs w:val="24"/>
              </w:rPr>
              <w:t xml:space="preserve">Gaz kaynaklarından alınan medikal gazları veya </w:t>
            </w:r>
            <w:proofErr w:type="spellStart"/>
            <w:r w:rsidRPr="00FD47CE">
              <w:rPr>
                <w:rFonts w:ascii="Times New Roman" w:hAnsi="Times New Roman" w:cs="Times New Roman"/>
                <w:sz w:val="24"/>
                <w:szCs w:val="24"/>
              </w:rPr>
              <w:t>inhalasyon</w:t>
            </w:r>
            <w:proofErr w:type="spellEnd"/>
            <w:r w:rsidRPr="00FD47CE">
              <w:rPr>
                <w:rFonts w:ascii="Times New Roman" w:hAnsi="Times New Roman" w:cs="Times New Roman"/>
                <w:sz w:val="24"/>
                <w:szCs w:val="24"/>
              </w:rPr>
              <w:t xml:space="preserve"> yoluyla uygulanan </w:t>
            </w:r>
            <w:proofErr w:type="spellStart"/>
            <w:r w:rsidRPr="00FD47CE">
              <w:rPr>
                <w:rFonts w:ascii="Times New Roman" w:hAnsi="Times New Roman" w:cs="Times New Roman"/>
                <w:sz w:val="24"/>
                <w:szCs w:val="24"/>
              </w:rPr>
              <w:t>anestezikleri</w:t>
            </w:r>
            <w:proofErr w:type="spellEnd"/>
            <w:r w:rsidRPr="00FD47CE">
              <w:rPr>
                <w:rFonts w:ascii="Times New Roman" w:hAnsi="Times New Roman" w:cs="Times New Roman"/>
                <w:sz w:val="24"/>
                <w:szCs w:val="24"/>
              </w:rPr>
              <w:t xml:space="preserve"> alarak hastaya ulaştırmak ve hastadan çıkan zararlı atık gaz karışımlarının uzaklaştırılmasını sağlamak, aynı zamanda solunumuna destek olmak üzere tasarlanmış olmalıdır.</w:t>
            </w:r>
          </w:p>
        </w:tc>
      </w:tr>
      <w:tr w:rsidR="00773F55" w14:paraId="6DE75873" w14:textId="77777777" w:rsidTr="00116BF6">
        <w:trPr>
          <w:trHeight w:val="1351"/>
        </w:trPr>
        <w:tc>
          <w:tcPr>
            <w:tcW w:w="1537" w:type="dxa"/>
          </w:tcPr>
          <w:p w14:paraId="3D842BC4" w14:textId="77777777" w:rsidR="00773F55" w:rsidRPr="004B7494" w:rsidRDefault="00773F55" w:rsidP="00116BF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128FC0E4" w14:textId="77777777" w:rsidR="00773F55" w:rsidRPr="004B7494" w:rsidRDefault="00773F55" w:rsidP="00116BF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FE7B7A2" w14:textId="705A62C5" w:rsidR="00773F55" w:rsidRPr="009F12A6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Anestezi solunum devresi standart (çift hatlı) veya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membranlı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tek hatlı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tipleri olmalı ayrıca yetişkin</w:t>
            </w:r>
            <w:r w:rsidR="003A0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pediatrik</w:t>
            </w:r>
            <w:r w:rsidR="003A0A53">
              <w:rPr>
                <w:rFonts w:ascii="Times New Roman" w:hAnsi="Times New Roman" w:cs="Times New Roman"/>
                <w:sz w:val="24"/>
                <w:szCs w:val="24"/>
              </w:rPr>
              <w:t xml:space="preserve"> ve yenidoğan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boyları </w:t>
            </w:r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677C7C4B" w14:textId="77777777" w:rsidR="00773F55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9F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Standart çift hatlı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devre</w:t>
            </w:r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B93D29" w14:textId="77777777" w:rsidR="00773F55" w:rsidRPr="009F12A6" w:rsidRDefault="00773F55" w:rsidP="00773F5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Bir adet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devresi, bir adet balonlu hortum, bir adet şeffaf tıpalı Y konektör veya cihaz bağlantı konektörlerinden oluşmalıdır.</w:t>
            </w:r>
          </w:p>
          <w:p w14:paraId="366C27A9" w14:textId="77777777" w:rsidR="00773F55" w:rsidRDefault="00773F55" w:rsidP="00773F5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Devreyi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oluşturan hortum yolları 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PE veya PVC yapıda olmalıdır. </w:t>
            </w:r>
          </w:p>
          <w:p w14:paraId="6E3A4918" w14:textId="77777777" w:rsidR="00773F55" w:rsidRPr="00116BF6" w:rsidRDefault="00773F55" w:rsidP="00773F5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evrelerin tek veya çift su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veya su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tutucusuz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çeşitleri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132198" w14:textId="77777777" w:rsidR="00773F55" w:rsidRPr="009F12A6" w:rsidRDefault="00773F55" w:rsidP="00773F5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Devreyi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oluşturan hortum yolları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koruge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yapıda olmalı ve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ektöre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sıkı geçme olmalıd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ır.</w:t>
            </w:r>
          </w:p>
          <w:p w14:paraId="71FC9211" w14:textId="77777777" w:rsidR="00773F55" w:rsidRDefault="00773F55" w:rsidP="00773F5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Devrenin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insprituvar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kolu ara bağlantı ile (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nebul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) ilaç vermeyi sağlamak amacıyla Y portundan ayrılabilmeli, yapışık olmamalıdır.</w:t>
            </w:r>
          </w:p>
          <w:p w14:paraId="017C8BD1" w14:textId="77777777" w:rsidR="00773F55" w:rsidRDefault="00773F55" w:rsidP="00773F5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Devrenin y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etişkin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veya pediatrik boylarda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en az 1 er adet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tı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220C8B4C" w14:textId="40A48D05" w:rsidR="00773F55" w:rsidRDefault="00773F55" w:rsidP="00773F5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Devrenin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0,5-1-1,5 veya 2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atex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balonu olan balon hortumundan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veya balonu olan hortumdan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oluşmalıdır.</w:t>
            </w:r>
            <w:r w:rsidR="00C1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Balon uzatma hortumu en az 120(±</w:t>
            </w:r>
            <w:r w:rsidR="00C17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cm uzunluğunda olmalıdır.</w:t>
            </w:r>
          </w:p>
          <w:p w14:paraId="5648A931" w14:textId="77777777" w:rsidR="00773F55" w:rsidRPr="00116BF6" w:rsidRDefault="00773F55" w:rsidP="00773F5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r w:rsidRPr="009F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etişkin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anestezi</w:t>
            </w:r>
            <w:r w:rsidRPr="009F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devresinde </w:t>
            </w:r>
            <w:proofErr w:type="spellStart"/>
            <w:r w:rsidRPr="009F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inspirasyon</w:t>
            </w:r>
            <w:proofErr w:type="spellEnd"/>
            <w:r w:rsidRPr="009F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9F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ekspirasyon</w:t>
            </w:r>
            <w:proofErr w:type="spellEnd"/>
            <w:r w:rsidRPr="009F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hortumların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ın</w:t>
            </w:r>
            <w:r w:rsidRPr="009F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çapı en az 19 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pediatrik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anestezi </w:t>
            </w:r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devresinde </w:t>
            </w:r>
            <w:proofErr w:type="spellStart"/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inspirasyon</w:t>
            </w:r>
            <w:proofErr w:type="spellEnd"/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ekspirasyon</w:t>
            </w:r>
            <w:proofErr w:type="spellEnd"/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hortumların çapı 15 mm olmalıdır.</w:t>
            </w:r>
          </w:p>
          <w:p w14:paraId="3C8FA630" w14:textId="0059E8B8" w:rsidR="00D44869" w:rsidRPr="00D44869" w:rsidRDefault="00773F55" w:rsidP="00D4486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etişkin anestezi devresinde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nspirasyon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hatları en az 1</w:t>
            </w:r>
            <w:r w:rsidR="00027316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Pediatrik anestezi devresinde en az 1</w:t>
            </w:r>
            <w:r w:rsidR="00CB4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cm olmalıdır.</w:t>
            </w:r>
            <w:r w:rsidR="00D44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4869" w:rsidRPr="00D44869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="00D44869" w:rsidRPr="00D44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869">
              <w:rPr>
                <w:rFonts w:ascii="Times New Roman" w:hAnsi="Times New Roman" w:cs="Times New Roman"/>
                <w:sz w:val="24"/>
                <w:szCs w:val="24"/>
              </w:rPr>
              <w:t>anestezi devresi en az 100cm olmalıdır</w:t>
            </w:r>
          </w:p>
        </w:tc>
      </w:tr>
      <w:tr w:rsidR="00773F55" w14:paraId="16BFDDC1" w14:textId="77777777" w:rsidTr="00116BF6">
        <w:trPr>
          <w:trHeight w:val="1351"/>
        </w:trPr>
        <w:tc>
          <w:tcPr>
            <w:tcW w:w="1537" w:type="dxa"/>
          </w:tcPr>
          <w:p w14:paraId="5F392BE3" w14:textId="77777777" w:rsidR="00773F55" w:rsidRPr="004B7494" w:rsidRDefault="00773F55" w:rsidP="00116BF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SM Malzeme Tanımlama Bilgileri: </w:t>
            </w:r>
          </w:p>
          <w:p w14:paraId="2F5583E6" w14:textId="77777777" w:rsidR="00773F55" w:rsidRPr="004B7494" w:rsidRDefault="00773F55" w:rsidP="00116BF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EB1DFA0" w14:textId="77777777" w:rsidR="00773F55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Koaksiyel</w:t>
            </w:r>
            <w:proofErr w:type="spellEnd"/>
            <w:r w:rsidRPr="0011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tek hatlı kapalı sistem</w:t>
            </w:r>
            <w:r w:rsidRPr="00116B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DCEB80" w14:textId="77777777" w:rsidR="00773F55" w:rsidRPr="00116BF6" w:rsidRDefault="00773F55" w:rsidP="00773F55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6">
              <w:rPr>
                <w:rFonts w:ascii="Times New Roman" w:hAnsi="Times New Roman" w:cs="Times New Roman"/>
                <w:sz w:val="24"/>
                <w:szCs w:val="24"/>
              </w:rPr>
              <w:t xml:space="preserve"> Devreler solunan gazların doğal şekilde ısıtılmasını ve bunun sonucunda doğal olarak nemlendirilmesini sağlamak için </w:t>
            </w:r>
            <w:proofErr w:type="spellStart"/>
            <w:r w:rsidRPr="00116BF6"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 w:rsidRPr="00116BF6">
              <w:rPr>
                <w:rFonts w:ascii="Times New Roman" w:hAnsi="Times New Roman" w:cs="Times New Roman"/>
                <w:sz w:val="24"/>
                <w:szCs w:val="24"/>
              </w:rPr>
              <w:t xml:space="preserve"> (iç içe geçmiş) formda tek bir hat olarak üretilmiş olmalıdır. Devrede </w:t>
            </w:r>
            <w:proofErr w:type="spellStart"/>
            <w:r w:rsidRPr="00116BF6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116BF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116BF6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116BF6">
              <w:rPr>
                <w:rFonts w:ascii="Times New Roman" w:hAnsi="Times New Roman" w:cs="Times New Roman"/>
                <w:sz w:val="24"/>
                <w:szCs w:val="24"/>
              </w:rPr>
              <w:t xml:space="preserve"> hatlarının ayırt edilebilmesi için </w:t>
            </w:r>
            <w:proofErr w:type="spellStart"/>
            <w:r w:rsidRPr="00116BF6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116BF6">
              <w:rPr>
                <w:rFonts w:ascii="Times New Roman" w:hAnsi="Times New Roman" w:cs="Times New Roman"/>
                <w:sz w:val="24"/>
                <w:szCs w:val="24"/>
              </w:rPr>
              <w:t xml:space="preserve"> hattı farklı renkte olmalıdır.</w:t>
            </w:r>
          </w:p>
          <w:p w14:paraId="1E43300B" w14:textId="77777777" w:rsidR="00773F55" w:rsidRDefault="00773F55" w:rsidP="00773F55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 hatlı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devrelerde 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bir tanesi </w:t>
            </w:r>
            <w:proofErr w:type="spell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 hattında diğeri ise </w:t>
            </w:r>
            <w:proofErr w:type="spell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 hattında olmak üzere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 veya çift 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proofErr w:type="spell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tutu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tutucuz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çeşitleri 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bulunmalıdır. Su tutucular kesinlikle ortam havasına açılmayacak şekilde dizayn edilmiş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96E5B9" w14:textId="77777777" w:rsidR="00773F55" w:rsidRDefault="00773F55" w:rsidP="00773F55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6">
              <w:rPr>
                <w:rFonts w:ascii="Times New Roman" w:hAnsi="Times New Roman" w:cs="Times New Roman"/>
                <w:sz w:val="24"/>
                <w:szCs w:val="24"/>
              </w:rPr>
              <w:t xml:space="preserve">Tek hatlı </w:t>
            </w:r>
            <w:proofErr w:type="spellStart"/>
            <w:r w:rsidRPr="00911DE6"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 w:rsidRPr="00911DE6">
              <w:rPr>
                <w:rFonts w:ascii="Times New Roman" w:hAnsi="Times New Roman" w:cs="Times New Roman"/>
                <w:sz w:val="24"/>
                <w:szCs w:val="24"/>
              </w:rPr>
              <w:t xml:space="preserve"> devrelerde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ayrıca ucunda en fazla 2lt lateks içermeyen balonu ve balon hortumu olmalıdır.</w:t>
            </w:r>
          </w:p>
          <w:p w14:paraId="41F7A7E0" w14:textId="77777777" w:rsidR="00773F55" w:rsidRPr="009F12A6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Membranlı</w:t>
            </w:r>
            <w:proofErr w:type="spellEnd"/>
            <w:r w:rsidRPr="009F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9F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septum</w:t>
            </w:r>
            <w:proofErr w:type="spellEnd"/>
            <w:r w:rsidRPr="009F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tek hatlı kapalı sistem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14:paraId="54F002A8" w14:textId="77777777" w:rsidR="00773F55" w:rsidRPr="009F12A6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eptum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duvarı ile ortadan ikiye ayrılmış, tek bir hat olarak üretilmiş </w:t>
            </w:r>
            <w:proofErr w:type="spellStart"/>
            <w:proofErr w:type="gram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Devrede</w:t>
            </w:r>
            <w:proofErr w:type="spellEnd"/>
            <w:proofErr w:type="gram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hatlarının ayırt edilebilmesi için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hattı ya da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septum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duvarı farklı renkte olmalıdır.</w:t>
            </w:r>
          </w:p>
          <w:p w14:paraId="16A2CF69" w14:textId="77777777" w:rsidR="00773F55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Membranlı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devrelerde 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bir tanesi </w:t>
            </w:r>
            <w:proofErr w:type="spell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 hattında diğeri ise </w:t>
            </w:r>
            <w:proofErr w:type="spell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 hattında olmak üzere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 veya çift 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proofErr w:type="spell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tutu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tutucuz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çeşitleri </w:t>
            </w:r>
            <w:proofErr w:type="spellStart"/>
            <w:proofErr w:type="gram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bulunmalıdır.Su</w:t>
            </w:r>
            <w:proofErr w:type="spellEnd"/>
            <w:proofErr w:type="gramEnd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 tutucular kesinlikle ortam havasına açılmayacak şekilde dizayn edilmiş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BA397" w14:textId="77777777" w:rsidR="00773F55" w:rsidRPr="00116BF6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11DE6">
              <w:rPr>
                <w:rFonts w:ascii="Times New Roman" w:hAnsi="Times New Roman" w:cs="Times New Roman"/>
                <w:sz w:val="24"/>
                <w:szCs w:val="24"/>
              </w:rPr>
              <w:t>embranlı</w:t>
            </w:r>
            <w:proofErr w:type="spellEnd"/>
            <w:r w:rsidRPr="00911DE6">
              <w:rPr>
                <w:rFonts w:ascii="Times New Roman" w:hAnsi="Times New Roman" w:cs="Times New Roman"/>
                <w:sz w:val="24"/>
                <w:szCs w:val="24"/>
              </w:rPr>
              <w:t xml:space="preserve"> devrelerde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ayrıca ucunda en fazla 2lt lateks içermeyen balonu ve balon hortumu olmalıdır.</w:t>
            </w:r>
          </w:p>
        </w:tc>
      </w:tr>
      <w:tr w:rsidR="00773F55" w14:paraId="0FDEF329" w14:textId="77777777" w:rsidTr="00116BF6">
        <w:trPr>
          <w:trHeight w:val="1640"/>
        </w:trPr>
        <w:tc>
          <w:tcPr>
            <w:tcW w:w="1537" w:type="dxa"/>
          </w:tcPr>
          <w:p w14:paraId="59AAFF5E" w14:textId="77777777" w:rsidR="00773F55" w:rsidRPr="004B7494" w:rsidRDefault="00773F55" w:rsidP="00116BF6">
            <w:pPr>
              <w:pStyle w:val="Balk2"/>
              <w:spacing w:before="120" w:after="120" w:line="360" w:lineRule="auto"/>
              <w:ind w:right="29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0139337" w14:textId="77777777" w:rsidR="00773F55" w:rsidRPr="004B7494" w:rsidRDefault="00773F55" w:rsidP="00116BF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A036531" w14:textId="64D90E18" w:rsidR="00773F55" w:rsidRPr="003658A7" w:rsidRDefault="00AA2B59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Üründe </w:t>
            </w:r>
            <w:bookmarkStart w:id="0" w:name="_GoBack"/>
            <w:bookmarkEnd w:id="0"/>
            <w:r w:rsidR="00773F55"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 w:rsidR="00773F55" w:rsidRPr="003658A7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="00773F55"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ucunda eklenip çıkarılabilen bir dirsek(</w:t>
            </w:r>
            <w:proofErr w:type="spellStart"/>
            <w:r w:rsidR="00773F55" w:rsidRPr="003658A7">
              <w:rPr>
                <w:rFonts w:ascii="Times New Roman" w:hAnsi="Times New Roman" w:cs="Times New Roman"/>
                <w:sz w:val="24"/>
                <w:szCs w:val="24"/>
              </w:rPr>
              <w:t>elbow</w:t>
            </w:r>
            <w:proofErr w:type="spellEnd"/>
            <w:r w:rsidR="00773F55" w:rsidRPr="003658A7">
              <w:rPr>
                <w:rFonts w:ascii="Times New Roman" w:hAnsi="Times New Roman" w:cs="Times New Roman"/>
                <w:sz w:val="24"/>
                <w:szCs w:val="24"/>
              </w:rPr>
              <w:t>) bulunmalıdır.</w:t>
            </w:r>
          </w:p>
          <w:p w14:paraId="4F4DFC31" w14:textId="77777777" w:rsidR="00773F55" w:rsidRPr="003658A7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Dirsek üzerinde CO2 ölçümüne olanak sağlayacak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port bulunmalıdır.</w:t>
            </w:r>
          </w:p>
          <w:p w14:paraId="4A75A05B" w14:textId="77777777" w:rsidR="00773F55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on-toksik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hipo-alerjen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D959E19" w14:textId="77777777" w:rsidR="00773F55" w:rsidRPr="003658A7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dayanıklı ve kırılmaz yapıda olmalıdır.</w:t>
            </w:r>
          </w:p>
        </w:tc>
      </w:tr>
      <w:tr w:rsidR="00773F55" w14:paraId="6C9BD50A" w14:textId="77777777" w:rsidTr="00116BF6">
        <w:trPr>
          <w:trHeight w:val="986"/>
        </w:trPr>
        <w:tc>
          <w:tcPr>
            <w:tcW w:w="1537" w:type="dxa"/>
          </w:tcPr>
          <w:p w14:paraId="772329B5" w14:textId="77777777" w:rsidR="00773F55" w:rsidRPr="004B7494" w:rsidRDefault="00773F55" w:rsidP="00116BF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B03FF57" w14:textId="77777777" w:rsidR="00773F55" w:rsidRPr="00116BF6" w:rsidRDefault="00773F55" w:rsidP="00773F55">
            <w:pPr>
              <w:pStyle w:val="ListeParagraf"/>
              <w:numPr>
                <w:ilvl w:val="0"/>
                <w:numId w:val="1"/>
              </w:numPr>
              <w:tabs>
                <w:tab w:val="left" w:pos="643"/>
              </w:tabs>
              <w:spacing w:before="120" w:after="12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Devre orijinal ambalajında ve tek kullanımlık olmalıdır.</w:t>
            </w:r>
          </w:p>
          <w:p w14:paraId="03676661" w14:textId="77777777" w:rsidR="00773F55" w:rsidRDefault="00773F55" w:rsidP="00773F55">
            <w:pPr>
              <w:pStyle w:val="ListeParagraf"/>
              <w:numPr>
                <w:ilvl w:val="0"/>
                <w:numId w:val="1"/>
              </w:numPr>
              <w:tabs>
                <w:tab w:val="left" w:pos="643"/>
              </w:tabs>
              <w:spacing w:before="120" w:after="12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Devre üniversal olmalı ve klinikte bulunan cihazlar ile uyumlu olmalıdır.</w:t>
            </w:r>
          </w:p>
          <w:p w14:paraId="30CF4C70" w14:textId="77777777" w:rsidR="00773F55" w:rsidRPr="00A33083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Devrenin tüm hat ve konektörlerinin gaz geçirgenlik,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komplians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 akışa direnç testleri yapılmış olmalıdır.</w:t>
            </w:r>
          </w:p>
          <w:p w14:paraId="1BB43D2E" w14:textId="77777777" w:rsidR="00773F55" w:rsidRPr="003658A7" w:rsidRDefault="00773F55" w:rsidP="00773F55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bilgisi bulunmalıdır</w:t>
            </w:r>
          </w:p>
        </w:tc>
      </w:tr>
    </w:tbl>
    <w:p w14:paraId="3148DDD7" w14:textId="77777777" w:rsidR="00773F55" w:rsidRPr="00936492" w:rsidRDefault="00773F55" w:rsidP="00773F5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348A9" w14:textId="77777777" w:rsidR="00E72BDB" w:rsidRDefault="00E72BDB"/>
    <w:sectPr w:rsidR="00E72B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89242" w14:textId="77777777" w:rsidR="00971843" w:rsidRDefault="00971843">
      <w:pPr>
        <w:spacing w:after="0" w:line="240" w:lineRule="auto"/>
      </w:pPr>
      <w:r>
        <w:separator/>
      </w:r>
    </w:p>
  </w:endnote>
  <w:endnote w:type="continuationSeparator" w:id="0">
    <w:p w14:paraId="35F024F9" w14:textId="77777777" w:rsidR="00971843" w:rsidRDefault="0097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4145" w14:textId="77777777" w:rsidR="00971843" w:rsidRDefault="00971843">
      <w:pPr>
        <w:spacing w:after="0" w:line="240" w:lineRule="auto"/>
      </w:pPr>
      <w:r>
        <w:separator/>
      </w:r>
    </w:p>
  </w:footnote>
  <w:footnote w:type="continuationSeparator" w:id="0">
    <w:p w14:paraId="5160F101" w14:textId="77777777" w:rsidR="00971843" w:rsidRDefault="0097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888EA" w14:textId="77777777" w:rsidR="00CD5A02" w:rsidRPr="00116BF6" w:rsidRDefault="00773F55" w:rsidP="00CD5A02">
    <w:pPr>
      <w:autoSpaceDE w:val="0"/>
      <w:autoSpaceDN w:val="0"/>
      <w:adjustRightInd w:val="0"/>
      <w:spacing w:before="120" w:after="120" w:line="360" w:lineRule="auto"/>
      <w:ind w:left="425" w:hanging="425"/>
      <w:rPr>
        <w:rFonts w:ascii="Times New Roman" w:hAnsi="Times New Roman"/>
        <w:b/>
        <w:sz w:val="24"/>
        <w:szCs w:val="24"/>
      </w:rPr>
    </w:pPr>
    <w:r w:rsidRPr="00116BF6">
      <w:rPr>
        <w:rFonts w:ascii="Times New Roman" w:hAnsi="Times New Roman"/>
        <w:b/>
        <w:sz w:val="24"/>
        <w:szCs w:val="24"/>
      </w:rPr>
      <w:t xml:space="preserve">SMT1528 ANESTEZİ SOLUNUM DEVRESİ </w:t>
    </w:r>
  </w:p>
  <w:p w14:paraId="3709588B" w14:textId="77777777" w:rsidR="00B2517C" w:rsidRPr="00CD5A02" w:rsidRDefault="00971843" w:rsidP="00CD5A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934"/>
    <w:multiLevelType w:val="hybridMultilevel"/>
    <w:tmpl w:val="75768B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FE9"/>
    <w:multiLevelType w:val="hybridMultilevel"/>
    <w:tmpl w:val="2D0A4B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254E"/>
    <w:multiLevelType w:val="hybridMultilevel"/>
    <w:tmpl w:val="D7AEB2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5"/>
    <w:rsid w:val="00027316"/>
    <w:rsid w:val="000535B3"/>
    <w:rsid w:val="003A0A53"/>
    <w:rsid w:val="003A18DF"/>
    <w:rsid w:val="0061371A"/>
    <w:rsid w:val="006637E9"/>
    <w:rsid w:val="00773F55"/>
    <w:rsid w:val="008836AB"/>
    <w:rsid w:val="00963C55"/>
    <w:rsid w:val="00971843"/>
    <w:rsid w:val="009A2655"/>
    <w:rsid w:val="009D005B"/>
    <w:rsid w:val="00AA2B59"/>
    <w:rsid w:val="00AC0354"/>
    <w:rsid w:val="00C1756A"/>
    <w:rsid w:val="00CB4440"/>
    <w:rsid w:val="00CF24B0"/>
    <w:rsid w:val="00D44869"/>
    <w:rsid w:val="00E7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10C5"/>
  <w15:chartTrackingRefBased/>
  <w15:docId w15:val="{871D7AC2-A22A-43C1-96A6-9167012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3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73F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773F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3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KARAARSLAN</dc:creator>
  <cp:keywords/>
  <dc:description/>
  <cp:lastModifiedBy>GÜLŞAH KARAARSLAN</cp:lastModifiedBy>
  <cp:revision>6</cp:revision>
  <dcterms:created xsi:type="dcterms:W3CDTF">2023-01-31T05:43:00Z</dcterms:created>
  <dcterms:modified xsi:type="dcterms:W3CDTF">2023-01-31T05:45:00Z</dcterms:modified>
</cp:coreProperties>
</file>