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F7127D" w:rsidRDefault="001A7DDD" w:rsidP="00F712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 w:rsidRPr="00F712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SMT1661-</w:t>
      </w:r>
      <w:r w:rsidR="00F7127D" w:rsidRPr="00F7127D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 xml:space="preserve"> KILAVUZ TEL, ÜROLOJİ, HİDROFİLİK</w:t>
      </w:r>
    </w:p>
    <w:tbl>
      <w:tblPr>
        <w:tblStyle w:val="TabloKlavuzu"/>
        <w:tblW w:w="9159" w:type="dxa"/>
        <w:tblLook w:val="04A0" w:firstRow="1" w:lastRow="0" w:firstColumn="1" w:lastColumn="0" w:noHBand="0" w:noVBand="1"/>
      </w:tblPr>
      <w:tblGrid>
        <w:gridCol w:w="1571"/>
        <w:gridCol w:w="7588"/>
      </w:tblGrid>
      <w:tr w:rsidR="00927B9C" w:rsidRPr="00EA7840" w:rsidTr="00F7127D">
        <w:trPr>
          <w:trHeight w:val="641"/>
        </w:trPr>
        <w:tc>
          <w:tcPr>
            <w:tcW w:w="1571" w:type="dxa"/>
          </w:tcPr>
          <w:p w:rsidR="00927B9C" w:rsidRPr="00EA7840" w:rsidRDefault="00927B9C" w:rsidP="00F7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88" w:type="dxa"/>
          </w:tcPr>
          <w:p w:rsidR="00927B9C" w:rsidRPr="001A7DDD" w:rsidRDefault="00B45091" w:rsidP="00F7127D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türlü endoskopik girişimlerle yapılan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cerrahisinde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yolla uygulanan üroloji cerrahi işlemler için tasarlanmış olmalıdır.</w:t>
            </w:r>
          </w:p>
        </w:tc>
      </w:tr>
      <w:tr w:rsidR="00927B9C" w:rsidRPr="00EA7840" w:rsidTr="00F7127D">
        <w:trPr>
          <w:trHeight w:val="2808"/>
        </w:trPr>
        <w:tc>
          <w:tcPr>
            <w:tcW w:w="1571" w:type="dxa"/>
          </w:tcPr>
          <w:p w:rsidR="00927B9C" w:rsidRPr="00EA7840" w:rsidRDefault="00927B9C" w:rsidP="00F7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88" w:type="dxa"/>
          </w:tcPr>
          <w:p w:rsidR="001A7DDD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DD">
              <w:rPr>
                <w:rFonts w:ascii="Times New Roman" w:hAnsi="Times New Roman" w:cs="Times New Roman"/>
                <w:sz w:val="24"/>
                <w:szCs w:val="24"/>
              </w:rPr>
              <w:t>Kılavuz tel çekirdeğinde Titanyum kaplı paslanmaz çelikten yapılmış bir metal içermelidir.</w:t>
            </w:r>
          </w:p>
          <w:p w:rsidR="001A7DDD" w:rsidRPr="00B0231E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proofErr w:type="spellStart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>proksimalden</w:t>
            </w:r>
            <w:proofErr w:type="spellEnd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>distale</w:t>
            </w:r>
            <w:proofErr w:type="spellEnd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 tek parça olarak üretilmiş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7D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D2B">
              <w:rPr>
                <w:rFonts w:ascii="Times New Roman" w:hAnsi="Times New Roman" w:cs="Times New Roman"/>
                <w:sz w:val="24"/>
                <w:szCs w:val="24"/>
              </w:rPr>
              <w:t xml:space="preserve">Kılavuz teller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0.018-0.038</w:t>
            </w:r>
            <w:r w:rsidRPr="00F91D2B">
              <w:rPr>
                <w:rFonts w:ascii="Times New Roman" w:hAnsi="Times New Roman" w:cs="Times New Roman"/>
                <w:sz w:val="24"/>
                <w:szCs w:val="24"/>
              </w:rPr>
              <w:t>inch kalınlığı arasında ve 150±10cm uz</w:t>
            </w:r>
            <w:r w:rsidR="00F7127D">
              <w:rPr>
                <w:rFonts w:ascii="Times New Roman" w:hAnsi="Times New Roman" w:cs="Times New Roman"/>
                <w:sz w:val="24"/>
                <w:szCs w:val="24"/>
              </w:rPr>
              <w:t>unluğunda olmalıdır.</w:t>
            </w:r>
          </w:p>
          <w:p w:rsidR="00927B9C" w:rsidRPr="00F7127D" w:rsidRDefault="00F7127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telin; düz, J uç veya açılı uç şeklinde seçenekleri </w:t>
            </w:r>
            <w:r w:rsidR="001A7DDD" w:rsidRPr="00F91D2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927B9C" w:rsidRPr="00EA7840" w:rsidTr="00F7127D">
        <w:trPr>
          <w:trHeight w:val="4521"/>
        </w:trPr>
        <w:tc>
          <w:tcPr>
            <w:tcW w:w="1571" w:type="dxa"/>
          </w:tcPr>
          <w:p w:rsidR="00927B9C" w:rsidRPr="00EB0ED7" w:rsidRDefault="00927B9C" w:rsidP="00F7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88" w:type="dxa"/>
          </w:tcPr>
          <w:p w:rsidR="00F7127D" w:rsidRPr="00F7127D" w:rsidRDefault="00F7127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D2B">
              <w:rPr>
                <w:rFonts w:ascii="Times New Roman" w:hAnsi="Times New Roman" w:cs="Times New Roman"/>
                <w:sz w:val="24"/>
                <w:szCs w:val="24"/>
              </w:rPr>
              <w:t xml:space="preserve">Kılavuz telin en dışı </w:t>
            </w:r>
            <w:proofErr w:type="spellStart"/>
            <w:r w:rsidRPr="00F91D2B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Pr="00F91D2B">
              <w:rPr>
                <w:rFonts w:ascii="Times New Roman" w:hAnsi="Times New Roman" w:cs="Times New Roman"/>
                <w:sz w:val="24"/>
                <w:szCs w:val="24"/>
              </w:rPr>
              <w:t xml:space="preserve"> bir malzeme ile kaplanmış olup, su ve kan gibi biyolojik sıvılarla temasa geçildiğinde, biyolojik ortamda en zor geçişlerden bile rahatlıkla geçebilecek kayganlıkta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Kompleks ve kıvrımlı lezyonlardan dahi kolay geçmelidir.</w:t>
            </w:r>
          </w:p>
          <w:p w:rsidR="001A7DDD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 xml:space="preserve"> kaplama dolayısıyla, </w:t>
            </w:r>
            <w:proofErr w:type="spellStart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 xml:space="preserve">, kılavuz tel üzerinden kaydırıldığında </w:t>
            </w:r>
            <w:proofErr w:type="spellStart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1A7DDD">
              <w:rPr>
                <w:rFonts w:ascii="Times New Roman" w:hAnsi="Times New Roman" w:cs="Times New Roman"/>
                <w:sz w:val="24"/>
                <w:szCs w:val="24"/>
              </w:rPr>
              <w:t xml:space="preserve"> çok kolay kaymasını sağlamalıdır. </w:t>
            </w:r>
          </w:p>
          <w:p w:rsidR="001A7DDD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0231E">
              <w:rPr>
                <w:rFonts w:ascii="Times New Roman" w:hAnsi="Times New Roman" w:cs="Times New Roman"/>
                <w:sz w:val="24"/>
                <w:szCs w:val="24"/>
              </w:rPr>
              <w:t>ılavuz tel bükülmelerden etkilenmemeli tekrar eski şeklini almalıdır. Bu özelliği ile kılavuz tel kuvvetli hafızaya sahip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7D" w:rsidRDefault="00F7127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kaplı kılavuz telin ucu kesinlikle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45B2" w:rsidRPr="00F7127D" w:rsidRDefault="00F7127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radyo</w:t>
            </w:r>
            <w:r w:rsidR="00A9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EA7840" w:rsidTr="00F7127D">
        <w:trPr>
          <w:trHeight w:val="1158"/>
        </w:trPr>
        <w:tc>
          <w:tcPr>
            <w:tcW w:w="1571" w:type="dxa"/>
          </w:tcPr>
          <w:p w:rsidR="00927B9C" w:rsidRPr="00EB0ED7" w:rsidRDefault="00927B9C" w:rsidP="00F7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88" w:type="dxa"/>
          </w:tcPr>
          <w:p w:rsidR="00927B9C" w:rsidRPr="001A7DDD" w:rsidRDefault="001A7DDD" w:rsidP="00F7127D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DD">
              <w:rPr>
                <w:rFonts w:ascii="Times New Roman" w:hAnsi="Times New Roman"/>
                <w:sz w:val="24"/>
                <w:szCs w:val="24"/>
              </w:rPr>
              <w:t>Steril ve orijinal ambalajında paketlenmiş olmalıdır. Son kullanma tarihi paket üzerinde yazmalıdır.</w:t>
            </w:r>
            <w:r w:rsidR="00EA7840" w:rsidRPr="001A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7B9C" w:rsidRPr="00EA7840" w:rsidRDefault="00927B9C" w:rsidP="00F7127D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2EF7"/>
    <w:multiLevelType w:val="hybridMultilevel"/>
    <w:tmpl w:val="5DB6A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D0242"/>
    <w:multiLevelType w:val="hybridMultilevel"/>
    <w:tmpl w:val="8DE894DE"/>
    <w:lvl w:ilvl="0" w:tplc="A8CC096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277F"/>
    <w:multiLevelType w:val="hybridMultilevel"/>
    <w:tmpl w:val="DA6ABE32"/>
    <w:lvl w:ilvl="0" w:tplc="7CCC3B0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B338F2"/>
    <w:multiLevelType w:val="hybridMultilevel"/>
    <w:tmpl w:val="6EC865F6"/>
    <w:lvl w:ilvl="0" w:tplc="FC5A907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04756"/>
    <w:multiLevelType w:val="hybridMultilevel"/>
    <w:tmpl w:val="FE6CFB26"/>
    <w:lvl w:ilvl="0" w:tplc="7CCC3B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62BEE"/>
    <w:rsid w:val="001307F7"/>
    <w:rsid w:val="001A7DDD"/>
    <w:rsid w:val="00460ABF"/>
    <w:rsid w:val="006F5AAA"/>
    <w:rsid w:val="007745B2"/>
    <w:rsid w:val="007D1FF3"/>
    <w:rsid w:val="008C58DF"/>
    <w:rsid w:val="00927B9C"/>
    <w:rsid w:val="009D7B3D"/>
    <w:rsid w:val="00A90390"/>
    <w:rsid w:val="00AE628B"/>
    <w:rsid w:val="00B45091"/>
    <w:rsid w:val="00C35B46"/>
    <w:rsid w:val="00EA7840"/>
    <w:rsid w:val="00EB0ED7"/>
    <w:rsid w:val="00F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27B9C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1A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2023-11-24T06:55:00Z</dcterms:created>
  <dcterms:modified xsi:type="dcterms:W3CDTF">2023-11-24T06:55:00Z</dcterms:modified>
</cp:coreProperties>
</file>