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286D15" w:rsidRPr="00286D15" w:rsidTr="001A4241">
        <w:trPr>
          <w:trHeight w:val="866"/>
        </w:trPr>
        <w:tc>
          <w:tcPr>
            <w:tcW w:w="1537" w:type="dxa"/>
          </w:tcPr>
          <w:p w:rsidR="00AF0440" w:rsidRPr="00286D15" w:rsidRDefault="00AF0440" w:rsidP="00A04E42">
            <w:pPr>
              <w:pStyle w:val="Balk2"/>
              <w:spacing w:before="120" w:after="120"/>
              <w:ind w:firstLine="0"/>
              <w:rPr>
                <w:rFonts w:cs="Times New Roman"/>
                <w:b/>
                <w:szCs w:val="24"/>
              </w:rPr>
            </w:pPr>
            <w:bookmarkStart w:id="0" w:name="_GoBack"/>
            <w:bookmarkEnd w:id="0"/>
            <w:r w:rsidRPr="00286D15">
              <w:rPr>
                <w:rFonts w:cs="Times New Roman"/>
                <w:b/>
                <w:szCs w:val="24"/>
              </w:rPr>
              <w:t xml:space="preserve">SMT Temel İşlevi: </w:t>
            </w:r>
          </w:p>
        </w:tc>
        <w:tc>
          <w:tcPr>
            <w:tcW w:w="8303" w:type="dxa"/>
            <w:shd w:val="clear" w:color="auto" w:fill="auto"/>
          </w:tcPr>
          <w:p w:rsidR="00AF0440" w:rsidRPr="00286D15" w:rsidRDefault="00286D15" w:rsidP="00A04E42">
            <w:pPr>
              <w:pStyle w:val="gvdemetni3"/>
              <w:numPr>
                <w:ilvl w:val="0"/>
                <w:numId w:val="40"/>
              </w:numPr>
              <w:spacing w:before="120" w:beforeAutospacing="0" w:after="120" w:afterAutospacing="0" w:line="360" w:lineRule="auto"/>
              <w:jc w:val="both"/>
            </w:pPr>
            <w:r w:rsidRPr="00286D15">
              <w:t>Yaşamı tehdit eden ventriküler taşiaritmilerin otomatik tedavisi için ventriküler antitaşikardi pacing ve ventriküler defibrilasyon sağlamak amacıyla tasarlanmış olmalıdır.</w:t>
            </w:r>
          </w:p>
        </w:tc>
      </w:tr>
      <w:tr w:rsidR="00286D15" w:rsidRPr="00286D15" w:rsidTr="00286D15">
        <w:trPr>
          <w:trHeight w:val="1354"/>
        </w:trPr>
        <w:tc>
          <w:tcPr>
            <w:tcW w:w="1537" w:type="dxa"/>
          </w:tcPr>
          <w:p w:rsidR="00AF0440" w:rsidRPr="00286D15" w:rsidRDefault="00AF0440" w:rsidP="00A04E42">
            <w:pPr>
              <w:pStyle w:val="Balk2"/>
              <w:spacing w:before="120" w:after="120"/>
              <w:ind w:firstLine="0"/>
              <w:rPr>
                <w:rFonts w:cs="Times New Roman"/>
                <w:b/>
                <w:szCs w:val="24"/>
              </w:rPr>
            </w:pPr>
            <w:r w:rsidRPr="00286D15">
              <w:rPr>
                <w:rFonts w:cs="Times New Roman"/>
                <w:b/>
                <w:szCs w:val="24"/>
              </w:rPr>
              <w:t xml:space="preserve">Malzeme Tanımlama Bilgileri: </w:t>
            </w:r>
          </w:p>
          <w:p w:rsidR="00AF0440" w:rsidRPr="00286D15" w:rsidRDefault="00AF0440" w:rsidP="00A04E42">
            <w:pPr>
              <w:pStyle w:val="Balk2"/>
              <w:spacing w:before="120" w:after="120"/>
              <w:rPr>
                <w:rFonts w:cs="Times New Roman"/>
                <w:b/>
                <w:szCs w:val="24"/>
              </w:rPr>
            </w:pPr>
          </w:p>
        </w:tc>
        <w:tc>
          <w:tcPr>
            <w:tcW w:w="8303" w:type="dxa"/>
            <w:shd w:val="clear" w:color="auto" w:fill="auto"/>
          </w:tcPr>
          <w:p w:rsidR="00471590" w:rsidRDefault="001A4241" w:rsidP="00A04E42">
            <w:pPr>
              <w:pStyle w:val="gvdemetni3"/>
              <w:numPr>
                <w:ilvl w:val="0"/>
                <w:numId w:val="40"/>
              </w:numPr>
              <w:spacing w:before="120" w:beforeAutospacing="0" w:after="120" w:afterAutospacing="0" w:line="360" w:lineRule="auto"/>
              <w:jc w:val="both"/>
            </w:pPr>
            <w:r w:rsidRPr="00286D15">
              <w:t>Ağırlığı 90 g’dan fazla olmamalıdır, kalınlığı 16 mm’den fazla olmamalıdır. Cihazın kaplaması titanyum olmalı ve “aktif can” özelliği göstermelidir.</w:t>
            </w:r>
          </w:p>
          <w:p w:rsidR="00A04E42" w:rsidRPr="00286D15" w:rsidRDefault="00A04E42" w:rsidP="00A04E42">
            <w:pPr>
              <w:pStyle w:val="gvdemetni3"/>
              <w:numPr>
                <w:ilvl w:val="0"/>
                <w:numId w:val="40"/>
              </w:numPr>
              <w:spacing w:before="120" w:beforeAutospacing="0" w:after="120" w:afterAutospacing="0" w:line="360" w:lineRule="auto"/>
              <w:jc w:val="both"/>
            </w:pPr>
            <w:r w:rsidRPr="00286D15">
              <w:t>Cihaz VVI, VVIR modlarında programlanabilmelidir.</w:t>
            </w:r>
          </w:p>
        </w:tc>
      </w:tr>
      <w:tr w:rsidR="00286D15" w:rsidRPr="00286D15" w:rsidTr="00286D15">
        <w:trPr>
          <w:trHeight w:val="1354"/>
        </w:trPr>
        <w:tc>
          <w:tcPr>
            <w:tcW w:w="1537" w:type="dxa"/>
          </w:tcPr>
          <w:p w:rsidR="00286D15" w:rsidRPr="00286D15" w:rsidRDefault="00286D15" w:rsidP="00A04E42">
            <w:pPr>
              <w:pStyle w:val="Balk2"/>
              <w:spacing w:before="120" w:after="120"/>
              <w:ind w:firstLine="0"/>
              <w:rPr>
                <w:rFonts w:cs="Times New Roman"/>
                <w:b/>
                <w:szCs w:val="24"/>
              </w:rPr>
            </w:pPr>
            <w:r w:rsidRPr="00286D15">
              <w:rPr>
                <w:rFonts w:cs="Times New Roman"/>
                <w:b/>
                <w:szCs w:val="24"/>
              </w:rPr>
              <w:t xml:space="preserve">Teknik Özellikleri: </w:t>
            </w:r>
          </w:p>
          <w:p w:rsidR="00286D15" w:rsidRPr="00286D15" w:rsidRDefault="00286D15" w:rsidP="00A04E42">
            <w:pPr>
              <w:pStyle w:val="Balk2"/>
              <w:spacing w:before="120" w:after="120"/>
              <w:ind w:firstLine="0"/>
              <w:rPr>
                <w:rFonts w:cs="Times New Roman"/>
                <w:b/>
                <w:szCs w:val="24"/>
              </w:rPr>
            </w:pPr>
          </w:p>
        </w:tc>
        <w:tc>
          <w:tcPr>
            <w:tcW w:w="8303" w:type="dxa"/>
            <w:shd w:val="clear" w:color="auto" w:fill="auto"/>
          </w:tcPr>
          <w:p w:rsidR="00286D15" w:rsidRPr="00286D15" w:rsidRDefault="00286D15" w:rsidP="00A04E42">
            <w:pPr>
              <w:pStyle w:val="gvdemetni3"/>
              <w:numPr>
                <w:ilvl w:val="0"/>
                <w:numId w:val="40"/>
              </w:numPr>
              <w:spacing w:before="120" w:beforeAutospacing="0" w:after="120" w:afterAutospacing="0" w:line="360" w:lineRule="auto"/>
              <w:jc w:val="both"/>
            </w:pPr>
            <w:r w:rsidRPr="00286D15">
              <w:t xml:space="preserve">Defibrilatör lead konektör kısmı, DF4 ya da DF-1 konnektörlü olmalıdır. Replasmanlarda kullanılmak üzere gerekli </w:t>
            </w:r>
            <w:r w:rsidR="00A04E42" w:rsidRPr="00286D15">
              <w:t>konektör</w:t>
            </w:r>
            <w:r w:rsidRPr="00286D15">
              <w:t xml:space="preserve"> modeli de temin edilebilmelidir.</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Cihaz farklı modlarda programlanabilmelidir. Anti-taşikardik tedaviler hem tamamen kapatılabilmeli hem de ritmi takip edip tedavi uygulama modu bulunmalıdır.</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Uygulanabilen en yüksek (maksimum) şok değeri en az 35 Joule olmalıdır.</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Cihaz ventriküler taşikardiyi, supraventriküler taşikardilerden ayırt edecek özelliklere ve algoritmalara sahip olmalıdır (onset, stability ve morfolojik kriterler gibi).</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Her bir aritmi algılama bölgesi, terapi seçimi ve uygulanacak şok değeri bağımsız olarak programlanabilmelidir. VF zonunda, şarj esnasında veya öncesinde ATP uygulayabilmelidir. ATP konfigürasyonları programlanabilmelidir.</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Cihazın aritmi ve tedavi episodlarını EGM (intrakardiyak EKG) olarak kaydetme özelliği olmalıdır.</w:t>
            </w:r>
          </w:p>
          <w:p w:rsidR="00286D15" w:rsidRPr="00286D15" w:rsidRDefault="00286D15" w:rsidP="00A04E42">
            <w:pPr>
              <w:pStyle w:val="gvdemetni3"/>
              <w:numPr>
                <w:ilvl w:val="0"/>
                <w:numId w:val="40"/>
              </w:numPr>
              <w:spacing w:before="120" w:beforeAutospacing="0" w:after="120" w:afterAutospacing="0" w:line="360" w:lineRule="auto"/>
              <w:jc w:val="both"/>
            </w:pPr>
            <w:r w:rsidRPr="00286D15">
              <w:t xml:space="preserve">Şok dalga formu bifazik olmalıdır. Cihazın uygulayacağı şokun polaritesi değiştirilebilir olmalıdır. </w:t>
            </w:r>
          </w:p>
        </w:tc>
      </w:tr>
      <w:tr w:rsidR="00F842D7" w:rsidRPr="00286D15" w:rsidTr="00AE3C98">
        <w:trPr>
          <w:trHeight w:val="12507"/>
        </w:trPr>
        <w:tc>
          <w:tcPr>
            <w:tcW w:w="1537" w:type="dxa"/>
          </w:tcPr>
          <w:p w:rsidR="00F842D7" w:rsidRPr="00286D15" w:rsidRDefault="00F842D7" w:rsidP="00A04E42">
            <w:pPr>
              <w:pStyle w:val="Balk2"/>
              <w:spacing w:before="120" w:after="120"/>
              <w:ind w:firstLine="0"/>
              <w:rPr>
                <w:rFonts w:cs="Times New Roman"/>
                <w:b/>
                <w:szCs w:val="24"/>
              </w:rPr>
            </w:pPr>
            <w:r w:rsidRPr="00286D15">
              <w:rPr>
                <w:rFonts w:cs="Times New Roman"/>
                <w:b/>
                <w:szCs w:val="24"/>
              </w:rPr>
              <w:lastRenderedPageBreak/>
              <w:t xml:space="preserve">Teknik Özellikleri: </w:t>
            </w:r>
          </w:p>
          <w:p w:rsidR="00F842D7" w:rsidRPr="00286D15" w:rsidRDefault="00F842D7" w:rsidP="00A04E42">
            <w:pPr>
              <w:pStyle w:val="Balk2"/>
              <w:spacing w:before="120" w:after="120"/>
              <w:rPr>
                <w:rFonts w:cs="Times New Roman"/>
                <w:b/>
                <w:szCs w:val="24"/>
              </w:rPr>
            </w:pPr>
          </w:p>
        </w:tc>
        <w:tc>
          <w:tcPr>
            <w:tcW w:w="8303" w:type="dxa"/>
            <w:shd w:val="clear" w:color="auto" w:fill="auto"/>
          </w:tcPr>
          <w:p w:rsidR="00F842D7" w:rsidRPr="00286D15" w:rsidRDefault="00F842D7" w:rsidP="00A04E42">
            <w:pPr>
              <w:pStyle w:val="ListeParagraf"/>
              <w:numPr>
                <w:ilvl w:val="0"/>
                <w:numId w:val="40"/>
              </w:numPr>
              <w:spacing w:before="120" w:after="120"/>
              <w:rPr>
                <w:rFonts w:ascii="Times New Roman" w:hAnsi="Times New Roman" w:cs="Times New Roman"/>
                <w:sz w:val="24"/>
                <w:szCs w:val="24"/>
              </w:rPr>
            </w:pPr>
            <w:r w:rsidRPr="00286D15">
              <w:rPr>
                <w:rFonts w:ascii="Times New Roman" w:hAnsi="Times New Roman" w:cs="Times New Roman"/>
                <w:sz w:val="24"/>
                <w:szCs w:val="24"/>
              </w:rPr>
              <w:t xml:space="preserve">Cihaz Ventriküler Fibrilasyonu (VF), Hızlı Ventriküler Taşikardiyi (FVT) ve Ventriküler Taşikardiyi (VT) tanımalı ve her birini sonlandırmak için ayrı ayrı terapi fonksiyonları bulunmalıdır.   </w:t>
            </w:r>
          </w:p>
          <w:p w:rsidR="00F842D7" w:rsidRPr="00286D15" w:rsidRDefault="00F842D7" w:rsidP="00A04E42">
            <w:pPr>
              <w:pStyle w:val="ListeParagraf"/>
              <w:numPr>
                <w:ilvl w:val="0"/>
                <w:numId w:val="40"/>
              </w:numPr>
              <w:spacing w:before="120" w:after="120"/>
              <w:rPr>
                <w:rFonts w:ascii="Times New Roman" w:hAnsi="Times New Roman" w:cs="Times New Roman"/>
                <w:sz w:val="24"/>
                <w:szCs w:val="24"/>
              </w:rPr>
            </w:pPr>
            <w:r w:rsidRPr="00286D15">
              <w:rPr>
                <w:rFonts w:ascii="Times New Roman" w:hAnsi="Times New Roman" w:cs="Times New Roman"/>
                <w:sz w:val="24"/>
                <w:szCs w:val="24"/>
              </w:rPr>
              <w:t>Pacemaker olarak rate responsive olmalıdır. Sensör, kas aktivitesi (activity), accelerometer, minute volume ve QT sensorü tek başına ya da birlikte kullanılabilmelidir.</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Cihaz defibrilasyon eşik testi için VF indüklemesi yapabilmelidir.</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 xml:space="preserve">Cihaz gereğinde mükerrer şok verebilmelidir. </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Cihazın %100 VVI pacing, 2,5 V çıkış amplitüdü, 0,5 ms uyarı genişliği, ve yılda 4 şok vermesi durumunda ömrü en az 4 (dört) yıl olmalıdır. Bu süreden erken biten cihazların üretici tarafından yapılan kapsamlı analizi sonucu erken ömür bitmesinin üretim hatasından kaynaklanması durumunda firma tarafından ücretsiz olarak değiştirilmelidir.</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Telemetri: Real time telemetresi olmalıdır. Tüm programlanabilen parametreler bununla sorgulanabilmeli ve programlanabilmelidir. Lead empedansı ve voltajı ölçülebilmeli ve tahmini ERI/EOL’a ulaşma zamanı hakkında bilgi verebilmelidir.</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Cihaz üzerinden EP Study/Induction testleri (T-Shock Induction, Manual Burst Induction, 50 Hz. Burst Induction veya PES Induction) yapılabilmelidir.</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 xml:space="preserve">Cihazın wireless (kablosuz) telemetri özelliği olmalıdır. Programlama ve cihaz değerlendirmesi işlem esnasında steriliteyi bozmamak için temassız şekilde yapılabilmelidir.  </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 xml:space="preserve">Cihazda SVT–VT dicriminasyon kriterleri dışında ek olarak uygunsuz şok azaltıcı algoritmalarının (Oversensing ve T-wave önleyen algoritma gibi) olması gerekmektedir. </w:t>
            </w:r>
          </w:p>
          <w:p w:rsidR="00F842D7" w:rsidRPr="00286D15" w:rsidRDefault="00F842D7" w:rsidP="00A04E42">
            <w:pPr>
              <w:pStyle w:val="gvdemetni3"/>
              <w:numPr>
                <w:ilvl w:val="0"/>
                <w:numId w:val="40"/>
              </w:numPr>
              <w:spacing w:before="120" w:beforeAutospacing="0" w:after="120" w:afterAutospacing="0" w:line="360" w:lineRule="auto"/>
              <w:jc w:val="both"/>
            </w:pPr>
            <w:r w:rsidRPr="00286D15">
              <w:t>Cihazın üzerine; hastanın kişisel bilgileri, hikâyesi, implantasyon bilgileri, hastane ve doktor bilgileri, cihaz ve elektrotların bilgileri kayıt edilebilmelidir.</w:t>
            </w:r>
          </w:p>
        </w:tc>
      </w:tr>
      <w:tr w:rsidR="00EE19EF" w:rsidRPr="00286D15" w:rsidTr="003E297C">
        <w:trPr>
          <w:trHeight w:val="7353"/>
        </w:trPr>
        <w:tc>
          <w:tcPr>
            <w:tcW w:w="1537" w:type="dxa"/>
          </w:tcPr>
          <w:p w:rsidR="00EE19EF" w:rsidRPr="00286D15" w:rsidRDefault="00EE19EF" w:rsidP="00A04E42">
            <w:pPr>
              <w:pStyle w:val="Balk2"/>
              <w:spacing w:before="120" w:after="120"/>
              <w:ind w:firstLine="0"/>
              <w:rPr>
                <w:rFonts w:cs="Times New Roman"/>
                <w:b/>
                <w:szCs w:val="24"/>
              </w:rPr>
            </w:pPr>
            <w:r w:rsidRPr="00286D15">
              <w:rPr>
                <w:rFonts w:cs="Times New Roman"/>
                <w:b/>
                <w:szCs w:val="24"/>
              </w:rPr>
              <w:lastRenderedPageBreak/>
              <w:t>Genel Hükümler:</w:t>
            </w:r>
          </w:p>
          <w:p w:rsidR="00EE19EF" w:rsidRPr="00286D15" w:rsidRDefault="00EE19EF" w:rsidP="00A04E42">
            <w:pPr>
              <w:pStyle w:val="Balk2"/>
              <w:spacing w:before="120" w:after="120"/>
              <w:ind w:firstLine="0"/>
              <w:rPr>
                <w:rFonts w:cs="Times New Roman"/>
                <w:b/>
                <w:szCs w:val="24"/>
              </w:rPr>
            </w:pPr>
          </w:p>
        </w:tc>
        <w:tc>
          <w:tcPr>
            <w:tcW w:w="8303" w:type="dxa"/>
            <w:shd w:val="clear" w:color="auto" w:fill="auto"/>
          </w:tcPr>
          <w:p w:rsidR="00EE19EF" w:rsidRPr="00286D15" w:rsidRDefault="00EE19EF" w:rsidP="00A04E42">
            <w:pPr>
              <w:pStyle w:val="gvdemetni3"/>
              <w:numPr>
                <w:ilvl w:val="0"/>
                <w:numId w:val="40"/>
              </w:numPr>
              <w:spacing w:before="120" w:beforeAutospacing="0" w:after="120" w:afterAutospacing="0" w:line="360" w:lineRule="auto"/>
              <w:jc w:val="both"/>
            </w:pPr>
            <w:r w:rsidRPr="00286D15">
              <w:t>Her 5 işleme bir işlem sırasında firma tarafından ölçüm kablosu temin edilmelidir.</w:t>
            </w:r>
          </w:p>
          <w:p w:rsidR="00EE19EF" w:rsidRPr="00286D15" w:rsidRDefault="00EE19EF" w:rsidP="00A04E42">
            <w:pPr>
              <w:pStyle w:val="ListeParagraf"/>
              <w:numPr>
                <w:ilvl w:val="0"/>
                <w:numId w:val="40"/>
              </w:numPr>
              <w:spacing w:before="120" w:after="120"/>
              <w:rPr>
                <w:rFonts w:ascii="Times New Roman" w:eastAsia="Calibri" w:hAnsi="Times New Roman" w:cs="Times New Roman"/>
                <w:sz w:val="24"/>
                <w:szCs w:val="24"/>
              </w:rPr>
            </w:pPr>
            <w:r w:rsidRPr="00286D15">
              <w:rPr>
                <w:rFonts w:ascii="Times New Roman" w:eastAsia="Calibri" w:hAnsi="Times New Roman" w:cs="Times New Roman"/>
                <w:sz w:val="24"/>
                <w:szCs w:val="24"/>
              </w:rPr>
              <w:t>TİTCK’ ya bildirilen garanti şartları ve saha bildirimlerine uyumlu olarak; ICD hastaya yerleştirildiği tarihten itibaren teknoloji</w:t>
            </w:r>
            <w:r w:rsidR="00A04E42">
              <w:rPr>
                <w:rFonts w:ascii="Times New Roman" w:eastAsia="Calibri" w:hAnsi="Times New Roman" w:cs="Times New Roman"/>
                <w:sz w:val="24"/>
                <w:szCs w:val="24"/>
              </w:rPr>
              <w:t xml:space="preserve"> hatalarına karşı en az 4 </w:t>
            </w:r>
            <w:r w:rsidRPr="00286D15">
              <w:rPr>
                <w:rFonts w:ascii="Times New Roman" w:eastAsia="Calibri" w:hAnsi="Times New Roman" w:cs="Times New Roman"/>
                <w:sz w:val="24"/>
                <w:szCs w:val="24"/>
              </w:rPr>
              <w:t>yıl için garanti altında olmalıdır.</w:t>
            </w:r>
          </w:p>
          <w:p w:rsidR="00EE19EF" w:rsidRPr="00286D15" w:rsidRDefault="00EE19EF" w:rsidP="00A04E42">
            <w:pPr>
              <w:pStyle w:val="ListeParagraf"/>
              <w:numPr>
                <w:ilvl w:val="0"/>
                <w:numId w:val="40"/>
              </w:numPr>
              <w:spacing w:before="120" w:after="120"/>
              <w:rPr>
                <w:rFonts w:ascii="Times New Roman" w:eastAsia="Calibri" w:hAnsi="Times New Roman" w:cs="Times New Roman"/>
                <w:sz w:val="24"/>
                <w:szCs w:val="24"/>
              </w:rPr>
            </w:pPr>
            <w:r w:rsidRPr="00286D15">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EE19EF" w:rsidRPr="00286D15" w:rsidRDefault="00EE19EF" w:rsidP="00A04E42">
            <w:pPr>
              <w:pStyle w:val="gvdemetni3"/>
              <w:numPr>
                <w:ilvl w:val="0"/>
                <w:numId w:val="40"/>
              </w:numPr>
              <w:spacing w:before="120" w:beforeAutospacing="0" w:after="120" w:afterAutospacing="0" w:line="360" w:lineRule="auto"/>
              <w:jc w:val="both"/>
              <w:rPr>
                <w:bCs/>
              </w:rPr>
            </w:pPr>
            <w:r w:rsidRPr="00286D15">
              <w:rPr>
                <w:rFonts w:eastAsia="Calibri"/>
              </w:rPr>
              <w:t>Firma ICD hastaya takılması sırasında gerekli ölçümlerin yapılmasını sağlamak için yetkili bir personel görevlendirmelidir.</w:t>
            </w:r>
          </w:p>
          <w:p w:rsidR="00EE19EF" w:rsidRPr="00286D15" w:rsidRDefault="00EE19EF" w:rsidP="00A04E42">
            <w:pPr>
              <w:pStyle w:val="ListeParagraf"/>
              <w:numPr>
                <w:ilvl w:val="0"/>
                <w:numId w:val="40"/>
              </w:numPr>
              <w:spacing w:before="120" w:after="120"/>
              <w:rPr>
                <w:rFonts w:ascii="Times New Roman" w:eastAsia="Calibri" w:hAnsi="Times New Roman" w:cs="Times New Roman"/>
                <w:sz w:val="24"/>
                <w:szCs w:val="24"/>
              </w:rPr>
            </w:pPr>
            <w:r w:rsidRPr="00286D15">
              <w:rPr>
                <w:rFonts w:ascii="Times New Roman" w:eastAsia="Calibri" w:hAnsi="Times New Roman" w:cs="Times New Roman"/>
                <w:sz w:val="24"/>
                <w:szCs w:val="24"/>
              </w:rPr>
              <w:t>Firma, bildirimi takiben ICD izleme işlemi için gerektiği t</w:t>
            </w:r>
            <w:r w:rsidR="00A04E42">
              <w:rPr>
                <w:rFonts w:ascii="Times New Roman" w:eastAsia="Calibri" w:hAnsi="Times New Roman" w:cs="Times New Roman"/>
                <w:sz w:val="24"/>
                <w:szCs w:val="24"/>
              </w:rPr>
              <w:t xml:space="preserve">akdirde en fazla 48 </w:t>
            </w:r>
            <w:r w:rsidRPr="00286D15">
              <w:rPr>
                <w:rFonts w:ascii="Times New Roman" w:eastAsia="Calibri" w:hAnsi="Times New Roman" w:cs="Times New Roman"/>
                <w:sz w:val="24"/>
                <w:szCs w:val="24"/>
              </w:rPr>
              <w:t xml:space="preserve">saat içinde hizmet vermelidir. </w:t>
            </w:r>
          </w:p>
          <w:p w:rsidR="00EE19EF" w:rsidRDefault="00EE19EF" w:rsidP="00A04E42">
            <w:pPr>
              <w:pStyle w:val="gvdemetni3"/>
              <w:numPr>
                <w:ilvl w:val="0"/>
                <w:numId w:val="40"/>
              </w:numPr>
              <w:spacing w:before="120" w:beforeAutospacing="0" w:after="120" w:afterAutospacing="0" w:line="360" w:lineRule="auto"/>
              <w:jc w:val="both"/>
              <w:rPr>
                <w:rFonts w:eastAsia="Calibri"/>
              </w:rPr>
            </w:pPr>
            <w:r w:rsidRPr="00286D15">
              <w:rPr>
                <w:rFonts w:eastAsia="Calibri"/>
              </w:rPr>
              <w:t>Gruplar için verilecek olan teklifler hem grup şartnamesine hem de bağlı malzeme teknik şartnamelerine uygun olacaktır.</w:t>
            </w:r>
          </w:p>
          <w:p w:rsidR="002B1831" w:rsidRPr="00286D15" w:rsidRDefault="002B1831" w:rsidP="00A04E42">
            <w:pPr>
              <w:pStyle w:val="gvdemetni3"/>
              <w:numPr>
                <w:ilvl w:val="0"/>
                <w:numId w:val="40"/>
              </w:numPr>
              <w:spacing w:before="120" w:beforeAutospacing="0" w:after="120" w:afterAutospacing="0" w:line="360" w:lineRule="auto"/>
              <w:jc w:val="both"/>
              <w:rPr>
                <w:rFonts w:eastAsia="Calibri"/>
              </w:rPr>
            </w:pPr>
            <w:r>
              <w:t>Kalp pili tedarikçi firması, pil kontrolü ve acil durumlarda 24 saat süreyle teknik destek vermelidir.Destek sağlayacak en az 2 teknik personele ait iletişim bilgileri beyan edilmelidir.</w:t>
            </w:r>
          </w:p>
        </w:tc>
      </w:tr>
    </w:tbl>
    <w:p w:rsidR="00AF0440" w:rsidRPr="00286D15" w:rsidRDefault="00AF0440" w:rsidP="00A04E42">
      <w:pPr>
        <w:spacing w:before="120" w:after="120"/>
        <w:ind w:left="426" w:firstLine="0"/>
        <w:rPr>
          <w:rFonts w:ascii="Times New Roman" w:hAnsi="Times New Roman" w:cs="Times New Roman"/>
          <w:sz w:val="24"/>
          <w:szCs w:val="24"/>
        </w:rPr>
      </w:pPr>
    </w:p>
    <w:sectPr w:rsidR="00AF0440" w:rsidRPr="00286D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499" w:rsidRDefault="00BF7499" w:rsidP="00AF0440">
      <w:pPr>
        <w:spacing w:after="0" w:line="240" w:lineRule="auto"/>
      </w:pPr>
      <w:r>
        <w:separator/>
      </w:r>
    </w:p>
  </w:endnote>
  <w:endnote w:type="continuationSeparator" w:id="0">
    <w:p w:rsidR="00BF7499" w:rsidRDefault="00BF7499"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8C4" w:rsidRDefault="00C738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9113"/>
      <w:docPartObj>
        <w:docPartGallery w:val="Page Numbers (Bottom of Page)"/>
        <w:docPartUnique/>
      </w:docPartObj>
    </w:sdtPr>
    <w:sdtEndPr/>
    <w:sdtContent>
      <w:p w:rsidR="00286D15" w:rsidRDefault="00286D15">
        <w:pPr>
          <w:pStyle w:val="AltBilgi"/>
          <w:jc w:val="center"/>
        </w:pPr>
        <w:r>
          <w:fldChar w:fldCharType="begin"/>
        </w:r>
        <w:r>
          <w:instrText>PAGE   \* MERGEFORMAT</w:instrText>
        </w:r>
        <w:r>
          <w:fldChar w:fldCharType="separate"/>
        </w:r>
        <w:r w:rsidR="00A04E42">
          <w:rPr>
            <w:noProof/>
          </w:rPr>
          <w:t>1</w:t>
        </w:r>
        <w:r>
          <w:fldChar w:fldCharType="end"/>
        </w:r>
      </w:p>
    </w:sdtContent>
  </w:sdt>
  <w:p w:rsidR="002E2D3F" w:rsidRDefault="002E2D3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8C4" w:rsidRDefault="00C738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499" w:rsidRDefault="00BF7499" w:rsidP="00AF0440">
      <w:pPr>
        <w:spacing w:after="0" w:line="240" w:lineRule="auto"/>
      </w:pPr>
      <w:r>
        <w:separator/>
      </w:r>
    </w:p>
  </w:footnote>
  <w:footnote w:type="continuationSeparator" w:id="0">
    <w:p w:rsidR="00BF7499" w:rsidRDefault="00BF7499"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8C4" w:rsidRDefault="00C738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440" w:rsidRPr="00C738C4" w:rsidRDefault="001A4241" w:rsidP="00A04E42">
    <w:pPr>
      <w:spacing w:after="0"/>
      <w:ind w:left="426" w:hanging="426"/>
      <w:jc w:val="left"/>
      <w:rPr>
        <w:rFonts w:ascii="Times New Roman" w:hAnsi="Times New Roman" w:cs="Times New Roman"/>
        <w:sz w:val="24"/>
        <w:szCs w:val="24"/>
      </w:rPr>
    </w:pPr>
    <w:r w:rsidRPr="00C738C4">
      <w:rPr>
        <w:rFonts w:ascii="Times New Roman" w:eastAsia="Times New Roman" w:hAnsi="Times New Roman" w:cs="Times New Roman"/>
        <w:b/>
        <w:color w:val="000000"/>
        <w:sz w:val="24"/>
        <w:szCs w:val="24"/>
        <w:lang w:eastAsia="tr-TR"/>
      </w:rPr>
      <w:t>SMT2115- ICD, VVIR, UYGUNSUZ ŞOK AZALTICI ÖZELLİKLİ/ERKEN TANI YAPABİLEN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8C4" w:rsidRDefault="00C738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09D560CF"/>
    <w:multiLevelType w:val="hybridMultilevel"/>
    <w:tmpl w:val="8494C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244A531C"/>
    <w:multiLevelType w:val="hybridMultilevel"/>
    <w:tmpl w:val="1E6440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25258B"/>
    <w:multiLevelType w:val="hybridMultilevel"/>
    <w:tmpl w:val="45C8986E"/>
    <w:lvl w:ilvl="0" w:tplc="B994DEBA">
      <w:start w:val="1"/>
      <w:numFmt w:val="decimal"/>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5"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BAC29CF"/>
    <w:multiLevelType w:val="hybridMultilevel"/>
    <w:tmpl w:val="544C39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9647E1"/>
    <w:multiLevelType w:val="hybridMultilevel"/>
    <w:tmpl w:val="8CDC58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A493025"/>
    <w:multiLevelType w:val="hybridMultilevel"/>
    <w:tmpl w:val="A00C7A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
  </w:num>
  <w:num w:numId="3">
    <w:abstractNumId w:val="23"/>
  </w:num>
  <w:num w:numId="4">
    <w:abstractNumId w:val="39"/>
  </w:num>
  <w:num w:numId="5">
    <w:abstractNumId w:val="38"/>
  </w:num>
  <w:num w:numId="6">
    <w:abstractNumId w:val="46"/>
  </w:num>
  <w:num w:numId="7">
    <w:abstractNumId w:val="30"/>
  </w:num>
  <w:num w:numId="8">
    <w:abstractNumId w:val="29"/>
  </w:num>
  <w:num w:numId="9">
    <w:abstractNumId w:val="41"/>
  </w:num>
  <w:num w:numId="10">
    <w:abstractNumId w:val="9"/>
  </w:num>
  <w:num w:numId="11">
    <w:abstractNumId w:val="3"/>
  </w:num>
  <w:num w:numId="12">
    <w:abstractNumId w:val="45"/>
  </w:num>
  <w:num w:numId="13">
    <w:abstractNumId w:val="2"/>
  </w:num>
  <w:num w:numId="14">
    <w:abstractNumId w:val="44"/>
  </w:num>
  <w:num w:numId="15">
    <w:abstractNumId w:val="20"/>
  </w:num>
  <w:num w:numId="16">
    <w:abstractNumId w:val="16"/>
  </w:num>
  <w:num w:numId="17">
    <w:abstractNumId w:val="12"/>
  </w:num>
  <w:num w:numId="18">
    <w:abstractNumId w:val="17"/>
  </w:num>
  <w:num w:numId="19">
    <w:abstractNumId w:val="26"/>
  </w:num>
  <w:num w:numId="20">
    <w:abstractNumId w:val="28"/>
  </w:num>
  <w:num w:numId="21">
    <w:abstractNumId w:val="31"/>
  </w:num>
  <w:num w:numId="22">
    <w:abstractNumId w:val="10"/>
  </w:num>
  <w:num w:numId="23">
    <w:abstractNumId w:val="25"/>
  </w:num>
  <w:num w:numId="24">
    <w:abstractNumId w:val="6"/>
  </w:num>
  <w:num w:numId="25">
    <w:abstractNumId w:val="4"/>
  </w:num>
  <w:num w:numId="26">
    <w:abstractNumId w:val="13"/>
  </w:num>
  <w:num w:numId="27">
    <w:abstractNumId w:val="36"/>
  </w:num>
  <w:num w:numId="28">
    <w:abstractNumId w:val="24"/>
  </w:num>
  <w:num w:numId="29">
    <w:abstractNumId w:val="35"/>
  </w:num>
  <w:num w:numId="30">
    <w:abstractNumId w:val="33"/>
  </w:num>
  <w:num w:numId="31">
    <w:abstractNumId w:val="15"/>
  </w:num>
  <w:num w:numId="32">
    <w:abstractNumId w:val="19"/>
  </w:num>
  <w:num w:numId="33">
    <w:abstractNumId w:val="11"/>
  </w:num>
  <w:num w:numId="34">
    <w:abstractNumId w:val="27"/>
  </w:num>
  <w:num w:numId="35">
    <w:abstractNumId w:val="8"/>
  </w:num>
  <w:num w:numId="36">
    <w:abstractNumId w:val="18"/>
  </w:num>
  <w:num w:numId="37">
    <w:abstractNumId w:val="42"/>
  </w:num>
  <w:num w:numId="38">
    <w:abstractNumId w:val="43"/>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32"/>
  </w:num>
  <w:num w:numId="41">
    <w:abstractNumId w:val="34"/>
  </w:num>
  <w:num w:numId="42">
    <w:abstractNumId w:val="21"/>
  </w:num>
  <w:num w:numId="43">
    <w:abstractNumId w:val="37"/>
  </w:num>
  <w:num w:numId="44">
    <w:abstractNumId w:val="40"/>
  </w:num>
  <w:num w:numId="45">
    <w:abstractNumId w:val="7"/>
  </w:num>
  <w:num w:numId="46">
    <w:abstractNumId w:val="5"/>
  </w:num>
  <w:num w:numId="4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12E3"/>
    <w:rsid w:val="000216CC"/>
    <w:rsid w:val="00023439"/>
    <w:rsid w:val="00023AC1"/>
    <w:rsid w:val="00025EFE"/>
    <w:rsid w:val="000304AD"/>
    <w:rsid w:val="00031685"/>
    <w:rsid w:val="00033F6C"/>
    <w:rsid w:val="00035FC9"/>
    <w:rsid w:val="0004764E"/>
    <w:rsid w:val="00057BB1"/>
    <w:rsid w:val="00063590"/>
    <w:rsid w:val="00063E5E"/>
    <w:rsid w:val="00065773"/>
    <w:rsid w:val="00066C79"/>
    <w:rsid w:val="0007797A"/>
    <w:rsid w:val="0008346A"/>
    <w:rsid w:val="00085090"/>
    <w:rsid w:val="00092DC8"/>
    <w:rsid w:val="000944C5"/>
    <w:rsid w:val="000A3794"/>
    <w:rsid w:val="000A68DF"/>
    <w:rsid w:val="000B06EE"/>
    <w:rsid w:val="000B29B4"/>
    <w:rsid w:val="000B3D42"/>
    <w:rsid w:val="000B524F"/>
    <w:rsid w:val="000B630B"/>
    <w:rsid w:val="000B678E"/>
    <w:rsid w:val="000C161C"/>
    <w:rsid w:val="000C19D5"/>
    <w:rsid w:val="000C231E"/>
    <w:rsid w:val="000E1CA1"/>
    <w:rsid w:val="000F208F"/>
    <w:rsid w:val="000F3F73"/>
    <w:rsid w:val="000F4AD0"/>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69DF"/>
    <w:rsid w:val="00156F34"/>
    <w:rsid w:val="00157657"/>
    <w:rsid w:val="00161B34"/>
    <w:rsid w:val="00171759"/>
    <w:rsid w:val="00173D2A"/>
    <w:rsid w:val="0017423A"/>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52D8E"/>
    <w:rsid w:val="00260C3D"/>
    <w:rsid w:val="00261B30"/>
    <w:rsid w:val="00265004"/>
    <w:rsid w:val="002668BB"/>
    <w:rsid w:val="00272C5E"/>
    <w:rsid w:val="00280F1C"/>
    <w:rsid w:val="00281632"/>
    <w:rsid w:val="00281FB6"/>
    <w:rsid w:val="00284492"/>
    <w:rsid w:val="00284A03"/>
    <w:rsid w:val="00284F18"/>
    <w:rsid w:val="00286D15"/>
    <w:rsid w:val="00291D27"/>
    <w:rsid w:val="00294011"/>
    <w:rsid w:val="00295AA0"/>
    <w:rsid w:val="002A4FD6"/>
    <w:rsid w:val="002A574A"/>
    <w:rsid w:val="002A597A"/>
    <w:rsid w:val="002A5A7F"/>
    <w:rsid w:val="002B1831"/>
    <w:rsid w:val="002B632D"/>
    <w:rsid w:val="002B66BF"/>
    <w:rsid w:val="002B7609"/>
    <w:rsid w:val="002B7EF0"/>
    <w:rsid w:val="002C1066"/>
    <w:rsid w:val="002C1AF2"/>
    <w:rsid w:val="002C6D82"/>
    <w:rsid w:val="002D33CD"/>
    <w:rsid w:val="002D46A6"/>
    <w:rsid w:val="002D4FB5"/>
    <w:rsid w:val="002D5534"/>
    <w:rsid w:val="002E2C4B"/>
    <w:rsid w:val="002E2D3F"/>
    <w:rsid w:val="002E30CF"/>
    <w:rsid w:val="002F7347"/>
    <w:rsid w:val="00307B2B"/>
    <w:rsid w:val="00310E51"/>
    <w:rsid w:val="00311833"/>
    <w:rsid w:val="00311FE9"/>
    <w:rsid w:val="00312840"/>
    <w:rsid w:val="00317DD4"/>
    <w:rsid w:val="00321A46"/>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47BB"/>
    <w:rsid w:val="00446FAF"/>
    <w:rsid w:val="00453CCA"/>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6AB9"/>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598F"/>
    <w:rsid w:val="005F1FF1"/>
    <w:rsid w:val="005F2164"/>
    <w:rsid w:val="005F4357"/>
    <w:rsid w:val="00601B13"/>
    <w:rsid w:val="00601D1D"/>
    <w:rsid w:val="00603914"/>
    <w:rsid w:val="00605338"/>
    <w:rsid w:val="006061C3"/>
    <w:rsid w:val="00611733"/>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4E0"/>
    <w:rsid w:val="006D4C87"/>
    <w:rsid w:val="006E1F28"/>
    <w:rsid w:val="006E2C5A"/>
    <w:rsid w:val="006E36D6"/>
    <w:rsid w:val="006E79C3"/>
    <w:rsid w:val="006F01E5"/>
    <w:rsid w:val="006F2DB0"/>
    <w:rsid w:val="00702103"/>
    <w:rsid w:val="0070684E"/>
    <w:rsid w:val="007111FE"/>
    <w:rsid w:val="00711329"/>
    <w:rsid w:val="0071268D"/>
    <w:rsid w:val="00716C84"/>
    <w:rsid w:val="00716E3B"/>
    <w:rsid w:val="0072109D"/>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A2BFF"/>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4E42"/>
    <w:rsid w:val="00A06433"/>
    <w:rsid w:val="00A06FC3"/>
    <w:rsid w:val="00A13220"/>
    <w:rsid w:val="00A133EC"/>
    <w:rsid w:val="00A20B19"/>
    <w:rsid w:val="00A22932"/>
    <w:rsid w:val="00A26424"/>
    <w:rsid w:val="00A314EC"/>
    <w:rsid w:val="00A31FA6"/>
    <w:rsid w:val="00A33073"/>
    <w:rsid w:val="00A348A4"/>
    <w:rsid w:val="00A34EB1"/>
    <w:rsid w:val="00A34FC4"/>
    <w:rsid w:val="00A459B1"/>
    <w:rsid w:val="00A46C82"/>
    <w:rsid w:val="00A47DFC"/>
    <w:rsid w:val="00A52A93"/>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A033B"/>
    <w:rsid w:val="00AA491E"/>
    <w:rsid w:val="00AB108E"/>
    <w:rsid w:val="00AB2255"/>
    <w:rsid w:val="00AB2779"/>
    <w:rsid w:val="00AB29C1"/>
    <w:rsid w:val="00AC1DAB"/>
    <w:rsid w:val="00AC24B4"/>
    <w:rsid w:val="00AC7ABE"/>
    <w:rsid w:val="00AD4207"/>
    <w:rsid w:val="00AD50F4"/>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D0339"/>
    <w:rsid w:val="00BD2CB2"/>
    <w:rsid w:val="00BD4E63"/>
    <w:rsid w:val="00BE4B7B"/>
    <w:rsid w:val="00BF21C3"/>
    <w:rsid w:val="00BF3C84"/>
    <w:rsid w:val="00BF5E90"/>
    <w:rsid w:val="00BF7499"/>
    <w:rsid w:val="00C02AF0"/>
    <w:rsid w:val="00C04832"/>
    <w:rsid w:val="00C0596C"/>
    <w:rsid w:val="00C113A2"/>
    <w:rsid w:val="00C13799"/>
    <w:rsid w:val="00C13B2F"/>
    <w:rsid w:val="00C153B1"/>
    <w:rsid w:val="00C1652B"/>
    <w:rsid w:val="00C2083F"/>
    <w:rsid w:val="00C21030"/>
    <w:rsid w:val="00C23E16"/>
    <w:rsid w:val="00C24F56"/>
    <w:rsid w:val="00C27C01"/>
    <w:rsid w:val="00C35724"/>
    <w:rsid w:val="00C46298"/>
    <w:rsid w:val="00C46B43"/>
    <w:rsid w:val="00C50A7E"/>
    <w:rsid w:val="00C52F15"/>
    <w:rsid w:val="00C5382D"/>
    <w:rsid w:val="00C57F84"/>
    <w:rsid w:val="00C6194C"/>
    <w:rsid w:val="00C62CA2"/>
    <w:rsid w:val="00C6468C"/>
    <w:rsid w:val="00C66601"/>
    <w:rsid w:val="00C66927"/>
    <w:rsid w:val="00C71FC7"/>
    <w:rsid w:val="00C738C4"/>
    <w:rsid w:val="00C7484F"/>
    <w:rsid w:val="00C826E3"/>
    <w:rsid w:val="00C835E4"/>
    <w:rsid w:val="00C84748"/>
    <w:rsid w:val="00C926CC"/>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44ED"/>
    <w:rsid w:val="00CE710E"/>
    <w:rsid w:val="00CE7611"/>
    <w:rsid w:val="00CF3ED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19EF"/>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6CE8"/>
    <w:rsid w:val="00F6729A"/>
    <w:rsid w:val="00F7111C"/>
    <w:rsid w:val="00F80EBE"/>
    <w:rsid w:val="00F842D7"/>
    <w:rsid w:val="00F85886"/>
    <w:rsid w:val="00FA1941"/>
    <w:rsid w:val="00FA68E9"/>
    <w:rsid w:val="00FA7BC8"/>
    <w:rsid w:val="00FB0A10"/>
    <w:rsid w:val="00FB27F9"/>
    <w:rsid w:val="00FB69D0"/>
    <w:rsid w:val="00FB75ED"/>
    <w:rsid w:val="00FC2210"/>
    <w:rsid w:val="00FC599B"/>
    <w:rsid w:val="00FD281F"/>
    <w:rsid w:val="00FD39BE"/>
    <w:rsid w:val="00FD63D0"/>
    <w:rsid w:val="00FD72CD"/>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MUCU</dc:creator>
  <cp:lastModifiedBy>CANAN KAYA</cp:lastModifiedBy>
  <cp:revision>2</cp:revision>
  <dcterms:created xsi:type="dcterms:W3CDTF">2021-12-24T17:36:00Z</dcterms:created>
  <dcterms:modified xsi:type="dcterms:W3CDTF">2021-12-24T17:36:00Z</dcterms:modified>
</cp:coreProperties>
</file>