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072"/>
      </w:tblGrid>
      <w:tr w:rsidR="004B7494" w14:paraId="4FC0AA66" w14:textId="77777777" w:rsidTr="00AD1DEF">
        <w:trPr>
          <w:trHeight w:val="850"/>
        </w:trPr>
        <w:tc>
          <w:tcPr>
            <w:tcW w:w="1560" w:type="dxa"/>
          </w:tcPr>
          <w:p w14:paraId="60336A27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072" w:type="dxa"/>
            <w:shd w:val="clear" w:color="auto" w:fill="auto"/>
          </w:tcPr>
          <w:p w14:paraId="2F7C5474" w14:textId="2712F922" w:rsidR="004B7494" w:rsidRPr="00D74757" w:rsidRDefault="00C71AE2" w:rsidP="00D74757">
            <w:pPr>
              <w:pStyle w:val="ListeParagraf"/>
              <w:widowControl w:val="0"/>
              <w:numPr>
                <w:ilvl w:val="0"/>
                <w:numId w:val="1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>Beyin cer</w:t>
            </w:r>
            <w:r w:rsidR="00FB1800" w:rsidRPr="00D74757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FB1800" w:rsidRPr="00D74757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ve diğer cerrahi branşlarda parankim dokularda yapılan işlemlerde, irrigasyon 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ile dokuya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yapışmadan düşük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ısıda doku nekrozuna sebebiyet vermeden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normal 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yollarla kontrolü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1800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altına </w:t>
            </w:r>
            <w:r w:rsidR="00984827" w:rsidRPr="00D74757">
              <w:rPr>
                <w:rFonts w:ascii="Times New Roman" w:hAnsi="Times New Roman" w:cs="Times New Roman"/>
                <w:sz w:val="24"/>
                <w:szCs w:val="24"/>
              </w:rPr>
              <w:t>alınamayan yüksek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volümlü kanamaların hızlı bir şekilde koagüle ed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kontrol probu</w:t>
            </w:r>
            <w:r w:rsidR="00FB1800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olarak tasarlanmış olmalıdır.</w:t>
            </w:r>
          </w:p>
        </w:tc>
      </w:tr>
      <w:tr w:rsidR="004B7494" w14:paraId="0458BF53" w14:textId="77777777" w:rsidTr="00AD1DEF">
        <w:trPr>
          <w:trHeight w:val="1640"/>
        </w:trPr>
        <w:tc>
          <w:tcPr>
            <w:tcW w:w="1560" w:type="dxa"/>
          </w:tcPr>
          <w:p w14:paraId="2D55F71A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</w:tc>
        <w:tc>
          <w:tcPr>
            <w:tcW w:w="9072" w:type="dxa"/>
            <w:shd w:val="clear" w:color="auto" w:fill="auto"/>
          </w:tcPr>
          <w:p w14:paraId="0A7098CB" w14:textId="77777777" w:rsidR="004E1903" w:rsidRDefault="004E1903" w:rsidP="004E1903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Ürünün</w:t>
            </w:r>
          </w:p>
          <w:p w14:paraId="1D65DB72" w14:textId="48CB01B6" w:rsidR="00F972C4" w:rsidRPr="004E1903" w:rsidRDefault="004E1903" w:rsidP="004E19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proofErr w:type="spellStart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Bipolar</w:t>
            </w:r>
            <w:proofErr w:type="spellEnd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Mühürleme, Konik, Kalın Uç</w:t>
            </w:r>
          </w:p>
          <w:p w14:paraId="41C1FFA3" w14:textId="36699413" w:rsidR="004E1903" w:rsidRPr="004E1903" w:rsidRDefault="004E1903" w:rsidP="004E19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proofErr w:type="spellStart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Bipolar</w:t>
            </w:r>
            <w:proofErr w:type="spellEnd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Mühürleme, Konik, Yuvarlak Uç</w:t>
            </w:r>
          </w:p>
          <w:p w14:paraId="268FAA97" w14:textId="0081B943" w:rsidR="004E1903" w:rsidRPr="004E1903" w:rsidRDefault="004E1903" w:rsidP="004E19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proofErr w:type="spellStart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Bipolar</w:t>
            </w:r>
            <w:proofErr w:type="spellEnd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Mühürleme, </w:t>
            </w:r>
            <w:proofErr w:type="spellStart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Laparoskopik</w:t>
            </w:r>
            <w:proofErr w:type="spellEnd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, Uzun Uç</w:t>
            </w:r>
          </w:p>
          <w:p w14:paraId="07BE2184" w14:textId="1D2846AF" w:rsidR="004E1903" w:rsidRPr="004E1903" w:rsidRDefault="004E1903" w:rsidP="004E19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</w:pPr>
            <w:proofErr w:type="spellStart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Bipolar</w:t>
            </w:r>
            <w:proofErr w:type="spellEnd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Mühürleme, Silindirik, İnce Uç</w:t>
            </w:r>
          </w:p>
          <w:p w14:paraId="59DCBD58" w14:textId="65D1D71E" w:rsidR="004E1903" w:rsidRPr="00D74757" w:rsidRDefault="004E1903" w:rsidP="004E1903">
            <w:pPr>
              <w:pStyle w:val="ListeParagraf"/>
              <w:numPr>
                <w:ilvl w:val="0"/>
                <w:numId w:val="17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>Bipolar</w:t>
            </w:r>
            <w:proofErr w:type="spellEnd"/>
            <w:r w:rsidRPr="004E1903"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Mühürleme, Silindirik, Kalın Uç</w:t>
            </w:r>
            <w:r>
              <w:rPr>
                <w:rFonts w:ascii="Times New Roman" w:hAnsi="Times New Roman" w:cs="Times New Roman"/>
                <w:color w:val="343434"/>
                <w:sz w:val="24"/>
                <w:szCs w:val="24"/>
                <w:shd w:val="clear" w:color="auto" w:fill="FFFFFF"/>
              </w:rPr>
              <w:t xml:space="preserve"> çeşitlerinden herhangi biri olmalıdır.</w:t>
            </w:r>
          </w:p>
        </w:tc>
      </w:tr>
      <w:tr w:rsidR="004B7494" w14:paraId="4A619DE2" w14:textId="77777777" w:rsidTr="00AD1DEF">
        <w:trPr>
          <w:trHeight w:val="1640"/>
        </w:trPr>
        <w:tc>
          <w:tcPr>
            <w:tcW w:w="1560" w:type="dxa"/>
          </w:tcPr>
          <w:p w14:paraId="5BB08B46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1EDBD825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14:paraId="2B2F8D7A" w14:textId="0EF52EDC" w:rsidR="00FB1800" w:rsidRPr="00D74757" w:rsidRDefault="00984827" w:rsidP="00D74757">
            <w:pPr>
              <w:pStyle w:val="ListeParagraf"/>
              <w:widowControl w:val="0"/>
              <w:numPr>
                <w:ilvl w:val="0"/>
                <w:numId w:val="16"/>
              </w:numPr>
              <w:spacing w:before="120" w:after="120" w:line="360" w:lineRule="auto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</w:t>
            </w:r>
            <w:r w:rsidR="00FB1800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üzerinde entegre bir şekilde irrigasyon düzeneği bulunmalıdır. </w:t>
            </w:r>
          </w:p>
          <w:p w14:paraId="408C78FF" w14:textId="6BD12B44" w:rsidR="00D74757" w:rsidRPr="00E53313" w:rsidRDefault="00D74757" w:rsidP="00D7475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3313">
              <w:rPr>
                <w:rFonts w:ascii="Times New Roman" w:hAnsi="Times New Roman" w:cs="Times New Roman"/>
                <w:sz w:val="24"/>
                <w:szCs w:val="24"/>
              </w:rPr>
              <w:t xml:space="preserve">Ürünün irrigasyon hattında sıvı akış hızı kontrol edilebilmeli </w:t>
            </w:r>
            <w:r w:rsidR="00E53313" w:rsidRPr="00E53313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E53313">
              <w:rPr>
                <w:rFonts w:ascii="Times New Roman" w:hAnsi="Times New Roman" w:cs="Times New Roman"/>
                <w:sz w:val="24"/>
                <w:szCs w:val="24"/>
              </w:rPr>
              <w:t>istenilen hızda bu akış ayarlanabilmelidir.</w:t>
            </w:r>
          </w:p>
          <w:p w14:paraId="680AA507" w14:textId="7559A3A6" w:rsidR="00D74757" w:rsidRPr="00D74757" w:rsidRDefault="00AD1DEF" w:rsidP="00D7475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>hızlı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kanama kontrolü sağlamalı, kanama kontrolü damarı mühürleme yöntemi ile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yaparken aynı zamanda dokuda </w:t>
            </w:r>
            <w:r w:rsidRPr="00D74757">
              <w:rPr>
                <w:rFonts w:ascii="Times New Roman" w:hAnsi="Times New Roman" w:cs="Times New Roman"/>
                <w:sz w:val="24"/>
                <w:szCs w:val="24"/>
              </w:rPr>
              <w:t>karbonizasyona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sebebiyet vermemelidir.</w:t>
            </w:r>
          </w:p>
          <w:p w14:paraId="7B69E7F0" w14:textId="6A0FA405" w:rsidR="00D74757" w:rsidRPr="00D74757" w:rsidRDefault="00523C43" w:rsidP="00D7475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ile teslim edilecek cihaz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RF gücü</w:t>
            </w:r>
            <w:r w:rsidR="00C45D45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proofErr w:type="spellStart"/>
            <w:r w:rsidR="00C45D45">
              <w:rPr>
                <w:rFonts w:ascii="Times New Roman" w:hAnsi="Times New Roman" w:cs="Times New Roman"/>
                <w:sz w:val="24"/>
                <w:szCs w:val="24"/>
              </w:rPr>
              <w:t>bipolar</w:t>
            </w:r>
            <w:proofErr w:type="spellEnd"/>
            <w:r w:rsidR="00C45D45">
              <w:rPr>
                <w:rFonts w:ascii="Times New Roman" w:hAnsi="Times New Roman" w:cs="Times New Roman"/>
                <w:sz w:val="24"/>
                <w:szCs w:val="24"/>
              </w:rPr>
              <w:t xml:space="preserve"> gücü 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r w:rsidR="00AD1DEF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eş</w:t>
            </w:r>
            <w:r w:rsidR="00AD1DEF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zamanlı 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 xml:space="preserve">olarak 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salin sağlamalıdır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96CBB" w14:textId="079B40BF" w:rsidR="00D74757" w:rsidRPr="00523C43" w:rsidRDefault="00523C43" w:rsidP="00523C43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ile teslim edilecek cihaz</w:t>
            </w:r>
            <w:r w:rsidR="00E53313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gücü 20 il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100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aralığında 5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artışlarla, 100 il</w:t>
            </w:r>
            <w:r w:rsidR="00AD1DE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200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aralığında 10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watt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artışlarla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ipolar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RF enerjisi sağlamalı, </w:t>
            </w:r>
            <w:r w:rsidR="004E190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74757" w:rsidRPr="00523C43">
              <w:rPr>
                <w:rFonts w:ascii="Times New Roman" w:hAnsi="Times New Roman" w:cs="Times New Roman"/>
                <w:sz w:val="24"/>
                <w:szCs w:val="24"/>
              </w:rPr>
              <w:t>aha yüksek doku dirençlerinde cihaz yüksek direnci algılamalıdır.</w:t>
            </w:r>
          </w:p>
          <w:p w14:paraId="26DB6941" w14:textId="17ADB127" w:rsidR="00523C43" w:rsidRPr="004E1903" w:rsidRDefault="00523C43" w:rsidP="004E1903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ile teslim edilecek cihaz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kalp ve beyin gibi hassas organlara zarar verilmemesi için CF (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cardiac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flow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) özelliğinde olmalıdır.</w:t>
            </w:r>
          </w:p>
        </w:tc>
      </w:tr>
      <w:tr w:rsidR="004B7494" w14:paraId="451A96DA" w14:textId="77777777" w:rsidTr="00AD1DEF">
        <w:trPr>
          <w:trHeight w:val="1025"/>
        </w:trPr>
        <w:tc>
          <w:tcPr>
            <w:tcW w:w="1560" w:type="dxa"/>
          </w:tcPr>
          <w:p w14:paraId="1DF2B494" w14:textId="77777777" w:rsidR="004B7494" w:rsidRPr="004B7494" w:rsidRDefault="004B7494" w:rsidP="007277AD">
            <w:pPr>
              <w:pStyle w:val="Balk2"/>
              <w:spacing w:before="120" w:after="120" w:line="36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</w:tc>
        <w:tc>
          <w:tcPr>
            <w:tcW w:w="9072" w:type="dxa"/>
            <w:shd w:val="clear" w:color="auto" w:fill="auto"/>
          </w:tcPr>
          <w:p w14:paraId="0E363622" w14:textId="25030736" w:rsidR="00AD1DEF" w:rsidRDefault="00AD1DEF" w:rsidP="00D7475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steril tekli ambalajda sunulmalıdır.</w:t>
            </w:r>
          </w:p>
          <w:p w14:paraId="56E1A3E2" w14:textId="4E702A88" w:rsidR="00ED7326" w:rsidRDefault="00ED7326" w:rsidP="00D74757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Ürün ile beraberinde kullanıma verilecek cihaz aynı marka</w:t>
            </w:r>
            <w:r w:rsidR="004E1903">
              <w:rPr>
                <w:rFonts w:ascii="Times New Roman" w:hAnsi="Times New Roman" w:cs="Times New Roman"/>
                <w:sz w:val="24"/>
                <w:szCs w:val="24"/>
              </w:rPr>
              <w:t>-model birbiri ile uyumlu olmalıdır.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4CB724" w14:textId="400228DA" w:rsidR="00195FEB" w:rsidRPr="004E1903" w:rsidRDefault="00ED7326" w:rsidP="004E1903">
            <w:pPr>
              <w:pStyle w:val="ListeParagraf"/>
              <w:numPr>
                <w:ilvl w:val="0"/>
                <w:numId w:val="1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Yüklenici firma</w:t>
            </w:r>
            <w:r w:rsidR="00523C43">
              <w:rPr>
                <w:rFonts w:ascii="Times New Roman" w:hAnsi="Times New Roman" w:cs="Times New Roman"/>
                <w:sz w:val="24"/>
                <w:szCs w:val="24"/>
              </w:rPr>
              <w:t xml:space="preserve"> sağlık tesisin</w:t>
            </w:r>
            <w:r w:rsidR="004E19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her 10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0 adet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prob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için </w:t>
            </w:r>
            <w:proofErr w:type="spellStart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>probla</w:t>
            </w:r>
            <w:proofErr w:type="spellEnd"/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uyumlu 1 adet cihazı mülkiyeti firma kalmak kaydı ile uçlar tükenene </w:t>
            </w:r>
            <w:r w:rsidR="00AD1DEF" w:rsidRPr="00D74757">
              <w:rPr>
                <w:rFonts w:ascii="Times New Roman" w:hAnsi="Times New Roman" w:cs="Times New Roman"/>
                <w:sz w:val="24"/>
                <w:szCs w:val="24"/>
              </w:rPr>
              <w:t>kadar kullanım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DEF" w:rsidRPr="00D74757">
              <w:rPr>
                <w:rFonts w:ascii="Times New Roman" w:hAnsi="Times New Roman" w:cs="Times New Roman"/>
                <w:sz w:val="24"/>
                <w:szCs w:val="24"/>
              </w:rPr>
              <w:t>amaçlı tesisi</w:t>
            </w:r>
            <w:r w:rsidR="00D74757" w:rsidRPr="00D74757">
              <w:rPr>
                <w:rFonts w:ascii="Times New Roman" w:hAnsi="Times New Roman" w:cs="Times New Roman"/>
                <w:sz w:val="24"/>
                <w:szCs w:val="24"/>
              </w:rPr>
              <w:t xml:space="preserve"> kullanımına bırakacaktır.</w:t>
            </w:r>
            <w:r w:rsidR="004E1903">
              <w:rPr>
                <w:rFonts w:ascii="Times New Roman" w:hAnsi="Times New Roman" w:cs="Times New Roman"/>
                <w:sz w:val="24"/>
                <w:szCs w:val="24"/>
              </w:rPr>
              <w:t xml:space="preserve"> Ürün sağlık tesisinde mevcut cihazlar ile uyumlu ise yüklenici ayrıca cihaz teslim etmeyecektir.</w:t>
            </w:r>
          </w:p>
        </w:tc>
      </w:tr>
    </w:tbl>
    <w:p w14:paraId="281A1192" w14:textId="77777777" w:rsidR="00331203" w:rsidRDefault="00331203" w:rsidP="007277AD">
      <w:pPr>
        <w:pStyle w:val="ListeParagra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Sect="004F4B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3BC95" w14:textId="77777777" w:rsidR="004451CE" w:rsidRDefault="004451CE" w:rsidP="00B2517C">
      <w:pPr>
        <w:spacing w:after="0" w:line="240" w:lineRule="auto"/>
      </w:pPr>
      <w:r>
        <w:separator/>
      </w:r>
    </w:p>
  </w:endnote>
  <w:endnote w:type="continuationSeparator" w:id="0">
    <w:p w14:paraId="1740B5DF" w14:textId="77777777" w:rsidR="004451CE" w:rsidRDefault="004451CE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4E9941" w14:textId="77777777" w:rsidR="001B10A8" w:rsidRDefault="001B10A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0066E" w14:textId="77777777" w:rsidR="001B10A8" w:rsidRDefault="001B10A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EE74" w14:textId="77777777" w:rsidR="001B10A8" w:rsidRDefault="001B10A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2AFC0" w14:textId="77777777" w:rsidR="004451CE" w:rsidRDefault="004451CE" w:rsidP="00B2517C">
      <w:pPr>
        <w:spacing w:after="0" w:line="240" w:lineRule="auto"/>
      </w:pPr>
      <w:r>
        <w:separator/>
      </w:r>
    </w:p>
  </w:footnote>
  <w:footnote w:type="continuationSeparator" w:id="0">
    <w:p w14:paraId="06A17C4A" w14:textId="77777777" w:rsidR="004451CE" w:rsidRDefault="004451CE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AC03C" w14:textId="77777777" w:rsidR="001B10A8" w:rsidRDefault="001B10A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5781" w14:textId="277B098F" w:rsidR="00B2517C" w:rsidRPr="005F2051" w:rsidRDefault="002A32C4" w:rsidP="00AD1DEF">
    <w:pPr>
      <w:pStyle w:val="stBilgi"/>
      <w:rPr>
        <w:rFonts w:ascii="Times New Roman" w:hAnsi="Times New Roman" w:cs="Times New Roman"/>
        <w:sz w:val="24"/>
        <w:szCs w:val="24"/>
      </w:rPr>
    </w:pPr>
    <w:r w:rsidRPr="005F2051">
      <w:rPr>
        <w:rFonts w:ascii="Times New Roman" w:hAnsi="Times New Roman" w:cs="Times New Roman"/>
        <w:b/>
        <w:bCs/>
        <w:sz w:val="24"/>
        <w:szCs w:val="24"/>
        <w:lang w:val="en-US"/>
      </w:rPr>
      <w:t xml:space="preserve">SMT2352 </w:t>
    </w:r>
    <w:r w:rsidR="00AD1DEF" w:rsidRPr="005F2051">
      <w:rPr>
        <w:rFonts w:ascii="Times New Roman" w:hAnsi="Times New Roman" w:cs="Times New Roman"/>
        <w:b/>
        <w:bCs/>
        <w:sz w:val="24"/>
        <w:szCs w:val="24"/>
        <w:lang w:val="en-US"/>
      </w:rPr>
      <w:t>BİPOLAR MÜHÜRLEME PROBU, İRRİGASYONLU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AFAC1" w14:textId="77777777" w:rsidR="001B10A8" w:rsidRDefault="001B10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6C08C6"/>
    <w:multiLevelType w:val="singleLevel"/>
    <w:tmpl w:val="DD6C08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0863313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0773E"/>
    <w:multiLevelType w:val="hybridMultilevel"/>
    <w:tmpl w:val="D0B08E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F3306"/>
    <w:multiLevelType w:val="hybridMultilevel"/>
    <w:tmpl w:val="72A8024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8775D9"/>
    <w:multiLevelType w:val="hybridMultilevel"/>
    <w:tmpl w:val="934E91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8713D"/>
    <w:multiLevelType w:val="hybridMultilevel"/>
    <w:tmpl w:val="50DECD12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77D43"/>
    <w:multiLevelType w:val="hybridMultilevel"/>
    <w:tmpl w:val="6B4EE61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92A66"/>
    <w:multiLevelType w:val="hybridMultilevel"/>
    <w:tmpl w:val="A5CC0B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0196F"/>
    <w:multiLevelType w:val="hybridMultilevel"/>
    <w:tmpl w:val="C608C6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8F4DA"/>
    <w:multiLevelType w:val="singleLevel"/>
    <w:tmpl w:val="5538F4D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3" w15:restartNumberingAfterBreak="0">
    <w:nsid w:val="5833B135"/>
    <w:multiLevelType w:val="singleLevel"/>
    <w:tmpl w:val="8CB232D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trike w:val="0"/>
        <w:color w:val="000000" w:themeColor="text1"/>
      </w:rPr>
    </w:lvl>
  </w:abstractNum>
  <w:abstractNum w:abstractNumId="14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3D6BA8"/>
    <w:multiLevelType w:val="hybridMultilevel"/>
    <w:tmpl w:val="57CCACA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13"/>
  </w:num>
  <w:num w:numId="10">
    <w:abstractNumId w:val="10"/>
  </w:num>
  <w:num w:numId="11">
    <w:abstractNumId w:val="14"/>
  </w:num>
  <w:num w:numId="12">
    <w:abstractNumId w:val="6"/>
  </w:num>
  <w:num w:numId="13">
    <w:abstractNumId w:val="12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17B0"/>
    <w:rsid w:val="000A587A"/>
    <w:rsid w:val="000D04A5"/>
    <w:rsid w:val="00104579"/>
    <w:rsid w:val="00160447"/>
    <w:rsid w:val="0016407F"/>
    <w:rsid w:val="00194192"/>
    <w:rsid w:val="00195FEB"/>
    <w:rsid w:val="001B10A8"/>
    <w:rsid w:val="001F72EC"/>
    <w:rsid w:val="00200F2B"/>
    <w:rsid w:val="00202BBD"/>
    <w:rsid w:val="00233ECB"/>
    <w:rsid w:val="002618E3"/>
    <w:rsid w:val="0029376A"/>
    <w:rsid w:val="002A32C4"/>
    <w:rsid w:val="002B66F4"/>
    <w:rsid w:val="003006B9"/>
    <w:rsid w:val="00331203"/>
    <w:rsid w:val="00337856"/>
    <w:rsid w:val="003C6956"/>
    <w:rsid w:val="004217EC"/>
    <w:rsid w:val="00441FA3"/>
    <w:rsid w:val="004451CE"/>
    <w:rsid w:val="004B7494"/>
    <w:rsid w:val="004C3A5E"/>
    <w:rsid w:val="004E1903"/>
    <w:rsid w:val="004F4BF0"/>
    <w:rsid w:val="00523C43"/>
    <w:rsid w:val="005A7C7B"/>
    <w:rsid w:val="005C0D2F"/>
    <w:rsid w:val="005C474B"/>
    <w:rsid w:val="005E5E9C"/>
    <w:rsid w:val="005F2051"/>
    <w:rsid w:val="0060330E"/>
    <w:rsid w:val="006825AE"/>
    <w:rsid w:val="0069201D"/>
    <w:rsid w:val="006B65AC"/>
    <w:rsid w:val="006F6766"/>
    <w:rsid w:val="007277AD"/>
    <w:rsid w:val="00734D9D"/>
    <w:rsid w:val="00747A9B"/>
    <w:rsid w:val="007F7EDA"/>
    <w:rsid w:val="00817836"/>
    <w:rsid w:val="008311EC"/>
    <w:rsid w:val="008D0659"/>
    <w:rsid w:val="00936492"/>
    <w:rsid w:val="00984827"/>
    <w:rsid w:val="009C2849"/>
    <w:rsid w:val="00A0594E"/>
    <w:rsid w:val="00A76582"/>
    <w:rsid w:val="00AD1DEF"/>
    <w:rsid w:val="00AE368F"/>
    <w:rsid w:val="00B2517C"/>
    <w:rsid w:val="00B6260A"/>
    <w:rsid w:val="00B93541"/>
    <w:rsid w:val="00BA3150"/>
    <w:rsid w:val="00BD6076"/>
    <w:rsid w:val="00BF4EE4"/>
    <w:rsid w:val="00BF5AAE"/>
    <w:rsid w:val="00C36A77"/>
    <w:rsid w:val="00C45D45"/>
    <w:rsid w:val="00C71AE2"/>
    <w:rsid w:val="00CE324E"/>
    <w:rsid w:val="00CE34B6"/>
    <w:rsid w:val="00D11834"/>
    <w:rsid w:val="00D21078"/>
    <w:rsid w:val="00D74757"/>
    <w:rsid w:val="00D86C62"/>
    <w:rsid w:val="00DD37AA"/>
    <w:rsid w:val="00DE3FAB"/>
    <w:rsid w:val="00E53313"/>
    <w:rsid w:val="00ED3775"/>
    <w:rsid w:val="00ED7326"/>
    <w:rsid w:val="00F534D8"/>
    <w:rsid w:val="00F972C4"/>
    <w:rsid w:val="00FB1800"/>
    <w:rsid w:val="00FE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14E5D"/>
  <w15:docId w15:val="{7549D43F-AF0C-4D93-80D8-6BB4BF14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4BF0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08453-A38D-46BD-9BFF-54572420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Betül GÜL</cp:lastModifiedBy>
  <cp:revision>2</cp:revision>
  <dcterms:created xsi:type="dcterms:W3CDTF">2024-04-01T11:45:00Z</dcterms:created>
  <dcterms:modified xsi:type="dcterms:W3CDTF">2024-04-01T11:45:00Z</dcterms:modified>
</cp:coreProperties>
</file>