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5"/>
        <w:gridCol w:w="8087"/>
      </w:tblGrid>
      <w:tr w:rsidR="00103F7F" w:rsidRPr="003706FF" w:rsidTr="00DA1E68">
        <w:trPr>
          <w:trHeight w:val="1261"/>
        </w:trPr>
        <w:tc>
          <w:tcPr>
            <w:tcW w:w="1695" w:type="dxa"/>
          </w:tcPr>
          <w:p w:rsidR="00095126" w:rsidRPr="00412649" w:rsidRDefault="00095126" w:rsidP="00884AF6">
            <w:pPr>
              <w:pStyle w:val="Balk2"/>
              <w:spacing w:line="360" w:lineRule="auto"/>
              <w:ind w:left="113" w:right="113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1264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087" w:type="dxa"/>
            <w:shd w:val="clear" w:color="auto" w:fill="auto"/>
          </w:tcPr>
          <w:p w:rsidR="00095126" w:rsidRPr="003706FF" w:rsidRDefault="00A17C33" w:rsidP="00584F8A">
            <w:pPr>
              <w:pStyle w:val="ListeParagraf"/>
              <w:numPr>
                <w:ilvl w:val="0"/>
                <w:numId w:val="12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6FF">
              <w:rPr>
                <w:rFonts w:ascii="Times New Roman" w:eastAsia="Calibri" w:hAnsi="Times New Roman" w:cs="Times New Roman"/>
                <w:sz w:val="24"/>
                <w:szCs w:val="24"/>
              </w:rPr>
              <w:t>Ürün,</w:t>
            </w:r>
            <w:r w:rsidR="00396EF8" w:rsidRPr="003706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85C" w:rsidRPr="003706FF">
              <w:rPr>
                <w:rFonts w:ascii="Times New Roman" w:hAnsi="Times New Roman" w:cs="Times New Roman"/>
                <w:sz w:val="24"/>
                <w:szCs w:val="24"/>
              </w:rPr>
              <w:t>ameliyatlarda</w:t>
            </w:r>
            <w:r w:rsidR="008E7073" w:rsidRPr="003706FF">
              <w:rPr>
                <w:rFonts w:ascii="Times New Roman" w:hAnsi="Times New Roman" w:cs="Times New Roman"/>
                <w:sz w:val="24"/>
                <w:szCs w:val="24"/>
              </w:rPr>
              <w:t>, kemik ve kıkırdak dokuyu oymak, tıraşlamak şeklinde ihtiyaç duyulan işlemleri yüksek devirlerde dönerek yapabilmek için tasarlanmış olmalıdır.</w:t>
            </w:r>
          </w:p>
        </w:tc>
      </w:tr>
      <w:tr w:rsidR="00103F7F" w:rsidRPr="003706FF" w:rsidTr="00DA1E68">
        <w:trPr>
          <w:trHeight w:val="2898"/>
        </w:trPr>
        <w:tc>
          <w:tcPr>
            <w:tcW w:w="1695" w:type="dxa"/>
          </w:tcPr>
          <w:p w:rsidR="00095126" w:rsidRPr="00412649" w:rsidRDefault="00095126" w:rsidP="00884AF6">
            <w:pPr>
              <w:pStyle w:val="Balk2"/>
              <w:spacing w:line="360" w:lineRule="auto"/>
              <w:ind w:left="113" w:right="113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1264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087" w:type="dxa"/>
            <w:shd w:val="clear" w:color="auto" w:fill="auto"/>
          </w:tcPr>
          <w:p w:rsidR="00584F8A" w:rsidRPr="003706FF" w:rsidRDefault="008E7073" w:rsidP="00584F8A">
            <w:pPr>
              <w:pStyle w:val="ListeParagraf"/>
              <w:numPr>
                <w:ilvl w:val="0"/>
                <w:numId w:val="12"/>
              </w:numPr>
              <w:tabs>
                <w:tab w:val="left" w:pos="284"/>
              </w:tabs>
              <w:spacing w:before="120" w:after="120" w:line="360" w:lineRule="auto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6FF">
              <w:rPr>
                <w:rFonts w:ascii="Times New Roman" w:eastAsia="Calibri" w:hAnsi="Times New Roman" w:cs="Times New Roman"/>
                <w:sz w:val="24"/>
                <w:szCs w:val="24"/>
              </w:rPr>
              <w:t>Yüksek Devirli Motor Ucu;</w:t>
            </w:r>
          </w:p>
          <w:p w:rsidR="00584F8A" w:rsidRPr="003706FF" w:rsidRDefault="008E7073" w:rsidP="00584F8A">
            <w:pPr>
              <w:pStyle w:val="ListeParagraf"/>
              <w:numPr>
                <w:ilvl w:val="0"/>
                <w:numId w:val="7"/>
              </w:numPr>
              <w:tabs>
                <w:tab w:val="left" w:pos="284"/>
              </w:tabs>
              <w:spacing w:before="120" w:after="120" w:line="360" w:lineRule="auto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6FF">
              <w:rPr>
                <w:rFonts w:ascii="Times New Roman" w:eastAsia="Calibri" w:hAnsi="Times New Roman" w:cs="Times New Roman"/>
                <w:sz w:val="24"/>
                <w:szCs w:val="24"/>
              </w:rPr>
              <w:t>Elmas Topuz Uç,</w:t>
            </w:r>
          </w:p>
          <w:p w:rsidR="00584F8A" w:rsidRPr="003706FF" w:rsidRDefault="008E7073" w:rsidP="00584F8A">
            <w:pPr>
              <w:pStyle w:val="ListeParagraf"/>
              <w:numPr>
                <w:ilvl w:val="0"/>
                <w:numId w:val="7"/>
              </w:numPr>
              <w:tabs>
                <w:tab w:val="left" w:pos="284"/>
              </w:tabs>
              <w:spacing w:before="120" w:after="120" w:line="360" w:lineRule="auto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6FF">
              <w:rPr>
                <w:rFonts w:ascii="Times New Roman" w:eastAsia="Calibri" w:hAnsi="Times New Roman" w:cs="Times New Roman"/>
                <w:sz w:val="24"/>
                <w:szCs w:val="24"/>
              </w:rPr>
              <w:t>Kesici Topuz Uç</w:t>
            </w:r>
            <w:r w:rsidR="00584F8A" w:rsidRPr="003706FF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584F8A" w:rsidRPr="003706FF" w:rsidRDefault="008E7073" w:rsidP="00584F8A">
            <w:pPr>
              <w:pStyle w:val="ListeParagraf"/>
              <w:numPr>
                <w:ilvl w:val="0"/>
                <w:numId w:val="7"/>
              </w:numPr>
              <w:tabs>
                <w:tab w:val="left" w:pos="284"/>
              </w:tabs>
              <w:spacing w:before="120" w:after="120" w:line="360" w:lineRule="auto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706FF">
              <w:rPr>
                <w:rFonts w:ascii="Times New Roman" w:eastAsia="Calibri" w:hAnsi="Times New Roman" w:cs="Times New Roman"/>
                <w:sz w:val="24"/>
                <w:szCs w:val="24"/>
              </w:rPr>
              <w:t>Kraniotomi</w:t>
            </w:r>
            <w:proofErr w:type="spellEnd"/>
            <w:r w:rsidRPr="003706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İçin Kesici Uç,</w:t>
            </w:r>
          </w:p>
          <w:p w:rsidR="00584F8A" w:rsidRPr="003706FF" w:rsidRDefault="008E7073" w:rsidP="00584F8A">
            <w:pPr>
              <w:pStyle w:val="ListeParagraf"/>
              <w:numPr>
                <w:ilvl w:val="0"/>
                <w:numId w:val="7"/>
              </w:numPr>
              <w:tabs>
                <w:tab w:val="left" w:pos="284"/>
              </w:tabs>
              <w:spacing w:before="120" w:after="120" w:line="360" w:lineRule="auto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706FF">
              <w:rPr>
                <w:rFonts w:ascii="Times New Roman" w:eastAsia="Calibri" w:hAnsi="Times New Roman" w:cs="Times New Roman"/>
                <w:sz w:val="24"/>
                <w:szCs w:val="24"/>
              </w:rPr>
              <w:t>Kraniotomi</w:t>
            </w:r>
            <w:proofErr w:type="spellEnd"/>
            <w:r w:rsidRPr="003706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İçin Delici Uç</w:t>
            </w:r>
            <w:r w:rsidR="00A17C33" w:rsidRPr="003706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</w:t>
            </w:r>
            <w:r w:rsidRPr="003706FF">
              <w:rPr>
                <w:rFonts w:ascii="Times New Roman" w:eastAsia="Calibri" w:hAnsi="Times New Roman" w:cs="Times New Roman"/>
                <w:sz w:val="24"/>
                <w:szCs w:val="24"/>
              </w:rPr>
              <w:t>eçeneklerin</w:t>
            </w:r>
            <w:r w:rsidR="00A17C33" w:rsidRPr="003706FF">
              <w:rPr>
                <w:rFonts w:ascii="Times New Roman" w:eastAsia="Calibri" w:hAnsi="Times New Roman" w:cs="Times New Roman"/>
                <w:sz w:val="24"/>
                <w:szCs w:val="24"/>
              </w:rPr>
              <w:t>in</w:t>
            </w:r>
            <w:r w:rsidRPr="003706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herhangi biri</w:t>
            </w:r>
            <w:r w:rsidR="00A17C33" w:rsidRPr="003706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706FF">
              <w:rPr>
                <w:rFonts w:ascii="Times New Roman" w:eastAsia="Calibri" w:hAnsi="Times New Roman" w:cs="Times New Roman"/>
                <w:sz w:val="24"/>
                <w:szCs w:val="24"/>
              </w:rPr>
              <w:t>olmalıdır</w:t>
            </w:r>
            <w:r w:rsidR="00C64B73" w:rsidRPr="003706F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64B73" w:rsidRPr="003706FF" w:rsidRDefault="0094166D" w:rsidP="0094166D">
            <w:pPr>
              <w:pStyle w:val="ListeParagraf"/>
              <w:numPr>
                <w:ilvl w:val="0"/>
                <w:numId w:val="12"/>
              </w:numPr>
              <w:tabs>
                <w:tab w:val="left" w:pos="284"/>
              </w:tabs>
              <w:spacing w:before="120" w:after="120" w:line="360" w:lineRule="auto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6FF">
              <w:rPr>
                <w:rFonts w:ascii="Times New Roman" w:eastAsia="Calibri" w:hAnsi="Times New Roman" w:cs="Times New Roman"/>
                <w:sz w:val="24"/>
                <w:szCs w:val="24"/>
              </w:rPr>
              <w:t>Ürünün</w:t>
            </w:r>
            <w:r w:rsidR="002E1EDE" w:rsidRPr="003706F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A42FFC" w:rsidRPr="003706F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</w:t>
            </w:r>
            <w:r w:rsidR="002E1EDE" w:rsidRPr="003706F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alın veya ince uç şaftları bulunmalıdır.</w:t>
            </w:r>
          </w:p>
          <w:p w:rsidR="003C65C2" w:rsidRPr="003706FF" w:rsidRDefault="00EA50AD" w:rsidP="00584F8A">
            <w:pPr>
              <w:pStyle w:val="ListeParagraf"/>
              <w:numPr>
                <w:ilvl w:val="0"/>
                <w:numId w:val="12"/>
              </w:numPr>
              <w:tabs>
                <w:tab w:val="left" w:pos="284"/>
              </w:tabs>
              <w:spacing w:before="120" w:after="120" w:line="360" w:lineRule="auto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6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17C33" w:rsidRPr="003706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Ürünün muhtelif boy </w:t>
            </w:r>
            <w:r w:rsidR="009C1BA5" w:rsidRPr="003706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ve </w:t>
            </w:r>
            <w:r w:rsidR="00A17C33" w:rsidRPr="003706FF">
              <w:rPr>
                <w:rFonts w:ascii="Times New Roman" w:eastAsia="Calibri" w:hAnsi="Times New Roman" w:cs="Times New Roman"/>
                <w:sz w:val="24"/>
                <w:szCs w:val="24"/>
              </w:rPr>
              <w:t>ebatları olmalıdır.</w:t>
            </w:r>
            <w:r w:rsidR="00E85379" w:rsidRPr="00370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03F7F" w:rsidRPr="003706FF" w:rsidTr="00DA1E68">
        <w:trPr>
          <w:trHeight w:val="3794"/>
        </w:trPr>
        <w:tc>
          <w:tcPr>
            <w:tcW w:w="1695" w:type="dxa"/>
          </w:tcPr>
          <w:p w:rsidR="00095126" w:rsidRPr="00412649" w:rsidRDefault="00095126" w:rsidP="00884AF6">
            <w:pPr>
              <w:pStyle w:val="Balk2"/>
              <w:spacing w:line="360" w:lineRule="auto"/>
              <w:ind w:left="113" w:right="113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1264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095126" w:rsidRPr="003706FF" w:rsidRDefault="00095126" w:rsidP="00884AF6">
            <w:pPr>
              <w:pStyle w:val="Balk2"/>
              <w:spacing w:line="360" w:lineRule="auto"/>
              <w:ind w:left="113" w:right="1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087" w:type="dxa"/>
            <w:shd w:val="clear" w:color="auto" w:fill="auto"/>
          </w:tcPr>
          <w:p w:rsidR="00584F8A" w:rsidRPr="003706FF" w:rsidRDefault="00C300FD" w:rsidP="00584F8A">
            <w:pPr>
              <w:pStyle w:val="ListeParagraf"/>
              <w:numPr>
                <w:ilvl w:val="0"/>
                <w:numId w:val="12"/>
              </w:numPr>
              <w:tabs>
                <w:tab w:val="left" w:pos="284"/>
              </w:tabs>
              <w:spacing w:before="120" w:after="120" w:line="360" w:lineRule="auto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6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Ürünün </w:t>
            </w:r>
            <w:r w:rsidR="008E7073" w:rsidRPr="003706FF">
              <w:rPr>
                <w:rFonts w:ascii="Times New Roman" w:eastAsia="Calibri" w:hAnsi="Times New Roman" w:cs="Times New Roman"/>
                <w:sz w:val="24"/>
                <w:szCs w:val="24"/>
              </w:rPr>
              <w:t>gövdesi</w:t>
            </w:r>
            <w:r w:rsidR="0036199F" w:rsidRPr="003706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04EA2" w:rsidRPr="003706FF"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  <w:r w:rsidR="00B36865" w:rsidRPr="003706FF">
              <w:rPr>
                <w:rFonts w:ascii="Times New Roman" w:eastAsia="Calibri" w:hAnsi="Times New Roman" w:cs="Times New Roman"/>
                <w:sz w:val="24"/>
                <w:szCs w:val="24"/>
              </w:rPr>
              <w:t>üz</w:t>
            </w:r>
            <w:r w:rsidR="008E7073" w:rsidRPr="003706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004EA2" w:rsidRPr="003706FF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="00B36865" w:rsidRPr="003706FF">
              <w:rPr>
                <w:rFonts w:ascii="Times New Roman" w:eastAsia="Calibri" w:hAnsi="Times New Roman" w:cs="Times New Roman"/>
                <w:sz w:val="24"/>
                <w:szCs w:val="24"/>
              </w:rPr>
              <w:t>ğri</w:t>
            </w:r>
            <w:r w:rsidR="008E7073" w:rsidRPr="003706FF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004EA2" w:rsidRPr="003706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</w:t>
            </w:r>
            <w:r w:rsidR="00B36865" w:rsidRPr="003706FF">
              <w:rPr>
                <w:rFonts w:ascii="Times New Roman" w:eastAsia="Calibri" w:hAnsi="Times New Roman" w:cs="Times New Roman"/>
                <w:sz w:val="24"/>
                <w:szCs w:val="24"/>
              </w:rPr>
              <w:t>çılı</w:t>
            </w:r>
            <w:r w:rsidR="008E7073" w:rsidRPr="003706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vb. </w:t>
            </w:r>
            <w:proofErr w:type="spellStart"/>
            <w:r w:rsidR="008E7073" w:rsidRPr="003706FF">
              <w:rPr>
                <w:rFonts w:ascii="Times New Roman" w:eastAsia="Calibri" w:hAnsi="Times New Roman" w:cs="Times New Roman"/>
                <w:sz w:val="24"/>
                <w:szCs w:val="24"/>
              </w:rPr>
              <w:t>ataçmanlar</w:t>
            </w:r>
            <w:proofErr w:type="spellEnd"/>
            <w:r w:rsidR="008E7073" w:rsidRPr="003706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ile kullanıl</w:t>
            </w:r>
            <w:r w:rsidR="00456D99" w:rsidRPr="003706FF">
              <w:rPr>
                <w:rFonts w:ascii="Times New Roman" w:eastAsia="Calibri" w:hAnsi="Times New Roman" w:cs="Times New Roman"/>
                <w:sz w:val="24"/>
                <w:szCs w:val="24"/>
              </w:rPr>
              <w:t>maya uygun olarak tasarlanmış</w:t>
            </w:r>
            <w:r w:rsidR="008E7073" w:rsidRPr="003706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olmalıdır.</w:t>
            </w:r>
          </w:p>
          <w:p w:rsidR="00584F8A" w:rsidRPr="003706FF" w:rsidRDefault="008E7073" w:rsidP="00584F8A">
            <w:pPr>
              <w:pStyle w:val="ListeParagraf"/>
              <w:numPr>
                <w:ilvl w:val="0"/>
                <w:numId w:val="12"/>
              </w:numPr>
              <w:tabs>
                <w:tab w:val="left" w:pos="284"/>
              </w:tabs>
              <w:spacing w:before="120" w:after="120" w:line="360" w:lineRule="auto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6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Sisteme ait </w:t>
            </w:r>
            <w:proofErr w:type="spellStart"/>
            <w:r w:rsidR="00DD685F">
              <w:rPr>
                <w:rFonts w:ascii="Times New Roman" w:eastAsia="Calibri" w:hAnsi="Times New Roman" w:cs="Times New Roman"/>
                <w:sz w:val="24"/>
                <w:szCs w:val="24"/>
              </w:rPr>
              <w:t>perforatör</w:t>
            </w:r>
            <w:proofErr w:type="spellEnd"/>
            <w:r w:rsidR="00DD6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D685F">
              <w:rPr>
                <w:rFonts w:ascii="Times New Roman" w:eastAsia="Calibri" w:hAnsi="Times New Roman" w:cs="Times New Roman"/>
                <w:sz w:val="24"/>
                <w:szCs w:val="24"/>
              </w:rPr>
              <w:t>ataçmanı</w:t>
            </w:r>
            <w:proofErr w:type="spellEnd"/>
            <w:r w:rsidR="00DD6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hariç </w:t>
            </w:r>
            <w:r w:rsidRPr="003706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tüm </w:t>
            </w:r>
            <w:proofErr w:type="spellStart"/>
            <w:r w:rsidRPr="003706FF">
              <w:rPr>
                <w:rFonts w:ascii="Times New Roman" w:eastAsia="Calibri" w:hAnsi="Times New Roman" w:cs="Times New Roman"/>
                <w:sz w:val="24"/>
                <w:szCs w:val="24"/>
              </w:rPr>
              <w:t>ataçmanlar</w:t>
            </w:r>
            <w:proofErr w:type="spellEnd"/>
            <w:r w:rsidRPr="003706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en az 75.000 </w:t>
            </w:r>
            <w:proofErr w:type="spellStart"/>
            <w:r w:rsidRPr="003706FF">
              <w:rPr>
                <w:rFonts w:ascii="Times New Roman" w:eastAsia="Calibri" w:hAnsi="Times New Roman" w:cs="Times New Roman"/>
                <w:sz w:val="24"/>
                <w:szCs w:val="24"/>
              </w:rPr>
              <w:t>rpm</w:t>
            </w:r>
            <w:proofErr w:type="spellEnd"/>
            <w:r w:rsidRPr="003706FF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3706FF">
              <w:rPr>
                <w:rFonts w:ascii="Times New Roman" w:eastAsia="Calibri" w:hAnsi="Times New Roman" w:cs="Times New Roman"/>
                <w:sz w:val="24"/>
                <w:szCs w:val="24"/>
              </w:rPr>
              <w:t>dk</w:t>
            </w:r>
            <w:proofErr w:type="spellEnd"/>
            <w:r w:rsidRPr="003706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yüksek devirde sabitlenerek çalışabilmelidir.</w:t>
            </w:r>
          </w:p>
          <w:p w:rsidR="00584F8A" w:rsidRPr="003706FF" w:rsidRDefault="00110B0E" w:rsidP="00584F8A">
            <w:pPr>
              <w:pStyle w:val="ListeParagraf"/>
              <w:numPr>
                <w:ilvl w:val="0"/>
                <w:numId w:val="12"/>
              </w:numPr>
              <w:tabs>
                <w:tab w:val="left" w:pos="284"/>
              </w:tabs>
              <w:spacing w:before="120" w:after="120" w:line="360" w:lineRule="auto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6FF">
              <w:rPr>
                <w:rFonts w:ascii="Times New Roman" w:eastAsia="Calibri" w:hAnsi="Times New Roman" w:cs="Times New Roman"/>
                <w:sz w:val="24"/>
                <w:szCs w:val="24"/>
              </w:rPr>
              <w:t>Ürün işlem sırasında</w:t>
            </w:r>
            <w:r w:rsidR="008E7073" w:rsidRPr="003706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cihaz-</w:t>
            </w:r>
            <w:proofErr w:type="spellStart"/>
            <w:r w:rsidR="008E7073" w:rsidRPr="003706FF">
              <w:rPr>
                <w:rFonts w:ascii="Times New Roman" w:eastAsia="Calibri" w:hAnsi="Times New Roman" w:cs="Times New Roman"/>
                <w:sz w:val="24"/>
                <w:szCs w:val="24"/>
              </w:rPr>
              <w:t>ataçman</w:t>
            </w:r>
            <w:proofErr w:type="spellEnd"/>
            <w:r w:rsidR="00744561" w:rsidRPr="003706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E7073" w:rsidRPr="003706FF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="008E7073" w:rsidRPr="003706FF">
              <w:rPr>
                <w:rFonts w:ascii="Times New Roman" w:eastAsia="Calibri" w:hAnsi="Times New Roman" w:cs="Times New Roman"/>
                <w:sz w:val="24"/>
                <w:szCs w:val="24"/>
              </w:rPr>
              <w:t>perforatör</w:t>
            </w:r>
            <w:proofErr w:type="spellEnd"/>
            <w:r w:rsidR="008E7073" w:rsidRPr="003706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7073" w:rsidRPr="003706FF">
              <w:rPr>
                <w:rFonts w:ascii="Times New Roman" w:eastAsia="Calibri" w:hAnsi="Times New Roman" w:cs="Times New Roman"/>
                <w:sz w:val="24"/>
                <w:szCs w:val="24"/>
              </w:rPr>
              <w:t>ataçmanları</w:t>
            </w:r>
            <w:proofErr w:type="spellEnd"/>
            <w:r w:rsidR="008E7073" w:rsidRPr="003706FF">
              <w:rPr>
                <w:rFonts w:ascii="Times New Roman" w:eastAsia="Calibri" w:hAnsi="Times New Roman" w:cs="Times New Roman"/>
                <w:sz w:val="24"/>
                <w:szCs w:val="24"/>
              </w:rPr>
              <w:t>) 800</w:t>
            </w:r>
            <w:r w:rsidR="00E73819" w:rsidRPr="003706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(±50)</w:t>
            </w:r>
            <w:r w:rsidR="008E7073" w:rsidRPr="003706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7073" w:rsidRPr="003706FF">
              <w:rPr>
                <w:rFonts w:ascii="Times New Roman" w:eastAsia="Calibri" w:hAnsi="Times New Roman" w:cs="Times New Roman"/>
                <w:sz w:val="24"/>
                <w:szCs w:val="24"/>
              </w:rPr>
              <w:t>rpm</w:t>
            </w:r>
            <w:proofErr w:type="spellEnd"/>
            <w:r w:rsidR="008E7073" w:rsidRPr="003706FF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="008E7073" w:rsidRPr="003706FF">
              <w:rPr>
                <w:rFonts w:ascii="Times New Roman" w:eastAsia="Calibri" w:hAnsi="Times New Roman" w:cs="Times New Roman"/>
                <w:sz w:val="24"/>
                <w:szCs w:val="24"/>
              </w:rPr>
              <w:t>dk</w:t>
            </w:r>
            <w:proofErr w:type="spellEnd"/>
            <w:r w:rsidR="008E7073" w:rsidRPr="003706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ile 1</w:t>
            </w:r>
            <w:r w:rsidR="00796854" w:rsidRPr="003706F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2C472B" w:rsidRPr="003706F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8E7073" w:rsidRPr="003706F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E73819" w:rsidRPr="003706FF">
              <w:rPr>
                <w:rFonts w:ascii="Times New Roman" w:eastAsia="Calibri" w:hAnsi="Times New Roman" w:cs="Times New Roman"/>
                <w:sz w:val="24"/>
                <w:szCs w:val="24"/>
              </w:rPr>
              <w:t>(±50)</w:t>
            </w:r>
            <w:r w:rsidR="00274C81" w:rsidRPr="003706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914BE" w:rsidRPr="003706FF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="00E73819" w:rsidRPr="003706FF">
              <w:rPr>
                <w:rFonts w:ascii="Times New Roman" w:eastAsia="Calibri" w:hAnsi="Times New Roman" w:cs="Times New Roman"/>
                <w:sz w:val="24"/>
                <w:szCs w:val="24"/>
              </w:rPr>
              <w:t>le</w:t>
            </w:r>
            <w:r w:rsidR="00274C81" w:rsidRPr="003706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2086C" w:rsidRPr="003706FF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C11A03" w:rsidRPr="003706FF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="00E73819" w:rsidRPr="003706FF">
              <w:rPr>
                <w:rFonts w:ascii="Times New Roman" w:eastAsia="Calibri" w:hAnsi="Times New Roman" w:cs="Times New Roman"/>
                <w:sz w:val="24"/>
                <w:szCs w:val="24"/>
              </w:rPr>
              <w:t>(±50)</w:t>
            </w:r>
            <w:r w:rsidR="009D3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362E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r w:rsidR="008E7073" w:rsidRPr="003706FF">
              <w:rPr>
                <w:rFonts w:ascii="Times New Roman" w:eastAsia="Calibri" w:hAnsi="Times New Roman" w:cs="Times New Roman"/>
                <w:sz w:val="24"/>
                <w:szCs w:val="24"/>
              </w:rPr>
              <w:t>pm</w:t>
            </w:r>
            <w:proofErr w:type="spellEnd"/>
            <w:r w:rsidR="008E7073" w:rsidRPr="003706FF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="008E7073" w:rsidRPr="003706FF">
              <w:rPr>
                <w:rFonts w:ascii="Times New Roman" w:eastAsia="Calibri" w:hAnsi="Times New Roman" w:cs="Times New Roman"/>
                <w:sz w:val="24"/>
                <w:szCs w:val="24"/>
              </w:rPr>
              <w:t>dk</w:t>
            </w:r>
            <w:proofErr w:type="spellEnd"/>
            <w:r w:rsidR="008E7073" w:rsidRPr="003706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devir” arasında sabitlenerek çalışabilecek özellikte olmalıd</w:t>
            </w:r>
            <w:r w:rsidR="004E035E" w:rsidRPr="003706FF">
              <w:rPr>
                <w:rFonts w:ascii="Times New Roman" w:eastAsia="Calibri" w:hAnsi="Times New Roman" w:cs="Times New Roman"/>
                <w:sz w:val="24"/>
                <w:szCs w:val="24"/>
              </w:rPr>
              <w:t>ır</w:t>
            </w:r>
            <w:r w:rsidR="00584F8A" w:rsidRPr="003706F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84F8A" w:rsidRPr="003706FF" w:rsidRDefault="008E7073" w:rsidP="00584F8A">
            <w:pPr>
              <w:pStyle w:val="ListeParagraf"/>
              <w:numPr>
                <w:ilvl w:val="0"/>
                <w:numId w:val="12"/>
              </w:numPr>
              <w:tabs>
                <w:tab w:val="left" w:pos="284"/>
              </w:tabs>
              <w:spacing w:before="120" w:after="120" w:line="360" w:lineRule="auto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6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Sistem içeriği </w:t>
            </w:r>
            <w:proofErr w:type="spellStart"/>
            <w:r w:rsidR="002C472B" w:rsidRPr="003706FF"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  <w:r w:rsidR="00B36865" w:rsidRPr="003706FF">
              <w:rPr>
                <w:rFonts w:ascii="Times New Roman" w:eastAsia="Calibri" w:hAnsi="Times New Roman" w:cs="Times New Roman"/>
                <w:sz w:val="24"/>
                <w:szCs w:val="24"/>
              </w:rPr>
              <w:t>ranial</w:t>
            </w:r>
            <w:proofErr w:type="spellEnd"/>
            <w:r w:rsidRPr="003706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C472B" w:rsidRPr="003706FF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="00B36865" w:rsidRPr="003706FF">
              <w:rPr>
                <w:rFonts w:ascii="Times New Roman" w:eastAsia="Calibri" w:hAnsi="Times New Roman" w:cs="Times New Roman"/>
                <w:sz w:val="24"/>
                <w:szCs w:val="24"/>
              </w:rPr>
              <w:t>pinal</w:t>
            </w:r>
            <w:proofErr w:type="spellEnd"/>
            <w:r w:rsidRPr="003706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="002C472B" w:rsidRPr="003706FF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="00B36865" w:rsidRPr="003706FF">
              <w:rPr>
                <w:rFonts w:ascii="Times New Roman" w:eastAsia="Calibri" w:hAnsi="Times New Roman" w:cs="Times New Roman"/>
                <w:sz w:val="24"/>
                <w:szCs w:val="24"/>
              </w:rPr>
              <w:t>ervikal</w:t>
            </w:r>
            <w:proofErr w:type="spellEnd"/>
            <w:r w:rsidRPr="003706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vakalarında kullanıma yeterli olmalıdır.</w:t>
            </w:r>
          </w:p>
          <w:p w:rsidR="00095126" w:rsidRPr="003706FF" w:rsidRDefault="008E7073" w:rsidP="00584F8A">
            <w:pPr>
              <w:pStyle w:val="ListeParagraf"/>
              <w:numPr>
                <w:ilvl w:val="0"/>
                <w:numId w:val="12"/>
              </w:numPr>
              <w:tabs>
                <w:tab w:val="left" w:pos="284"/>
              </w:tabs>
              <w:spacing w:before="120" w:after="120" w:line="360" w:lineRule="auto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6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Sisteme ait bütün bileşenler (uç, </w:t>
            </w:r>
            <w:proofErr w:type="spellStart"/>
            <w:r w:rsidRPr="003706FF">
              <w:rPr>
                <w:rFonts w:ascii="Times New Roman" w:eastAsia="Calibri" w:hAnsi="Times New Roman" w:cs="Times New Roman"/>
                <w:sz w:val="24"/>
                <w:szCs w:val="24"/>
              </w:rPr>
              <w:t>ataçman</w:t>
            </w:r>
            <w:proofErr w:type="spellEnd"/>
            <w:r w:rsidRPr="003706FF">
              <w:rPr>
                <w:rFonts w:ascii="Times New Roman" w:eastAsia="Calibri" w:hAnsi="Times New Roman" w:cs="Times New Roman"/>
                <w:sz w:val="24"/>
                <w:szCs w:val="24"/>
              </w:rPr>
              <w:t>, motor gövdesi, ara bağlantı kablosu, elektrikli kontrol konsolu, ayak pedalı) birbiri ile tam uyumlu ve aynı marka olmalıdır.</w:t>
            </w:r>
          </w:p>
        </w:tc>
      </w:tr>
      <w:tr w:rsidR="00412649" w:rsidRPr="003706FF" w:rsidTr="00DA1E68">
        <w:trPr>
          <w:trHeight w:val="3794"/>
        </w:trPr>
        <w:tc>
          <w:tcPr>
            <w:tcW w:w="1695" w:type="dxa"/>
          </w:tcPr>
          <w:p w:rsidR="00412649" w:rsidRPr="00412649" w:rsidRDefault="00412649" w:rsidP="00412649">
            <w:pPr>
              <w:pStyle w:val="Balk2"/>
              <w:spacing w:line="360" w:lineRule="auto"/>
              <w:ind w:left="113" w:right="113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1264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12649" w:rsidRPr="003706FF" w:rsidRDefault="00412649" w:rsidP="00884AF6">
            <w:pPr>
              <w:pStyle w:val="Balk2"/>
              <w:spacing w:line="360" w:lineRule="auto"/>
              <w:ind w:left="113" w:right="1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087" w:type="dxa"/>
            <w:shd w:val="clear" w:color="auto" w:fill="auto"/>
          </w:tcPr>
          <w:p w:rsidR="00E722CC" w:rsidRPr="003706FF" w:rsidRDefault="00E722CC" w:rsidP="00E722CC">
            <w:pPr>
              <w:pStyle w:val="ListeParagraf"/>
              <w:numPr>
                <w:ilvl w:val="0"/>
                <w:numId w:val="12"/>
              </w:numPr>
              <w:tabs>
                <w:tab w:val="left" w:pos="284"/>
              </w:tabs>
              <w:spacing w:before="120" w:after="120" w:line="360" w:lineRule="auto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6FF">
              <w:rPr>
                <w:rFonts w:ascii="Times New Roman" w:eastAsia="Calibri" w:hAnsi="Times New Roman" w:cs="Times New Roman"/>
                <w:sz w:val="24"/>
                <w:szCs w:val="24"/>
              </w:rPr>
              <w:t>Ürün orijinal ambalajında ve steril olmalıdır.</w:t>
            </w:r>
          </w:p>
          <w:p w:rsidR="00E722CC" w:rsidRPr="003706FF" w:rsidRDefault="00E722CC" w:rsidP="00E722CC">
            <w:pPr>
              <w:pStyle w:val="ListeParagraf"/>
              <w:numPr>
                <w:ilvl w:val="0"/>
                <w:numId w:val="12"/>
              </w:numPr>
              <w:tabs>
                <w:tab w:val="left" w:pos="284"/>
              </w:tabs>
              <w:spacing w:before="120" w:after="120" w:line="360" w:lineRule="auto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6FF">
              <w:rPr>
                <w:rFonts w:ascii="Times New Roman" w:hAnsi="Times New Roman" w:cs="Times New Roman"/>
                <w:sz w:val="24"/>
                <w:szCs w:val="24"/>
              </w:rPr>
              <w:t>Ürün ambalajı üzerinde son kullanma tarihi, UBB ve LOT bilgisi bulunmalıdır.</w:t>
            </w:r>
          </w:p>
          <w:p w:rsidR="00412649" w:rsidRPr="00E722CC" w:rsidRDefault="00E722CC" w:rsidP="00E722CC">
            <w:pPr>
              <w:pStyle w:val="ListeParagraf"/>
              <w:numPr>
                <w:ilvl w:val="0"/>
                <w:numId w:val="12"/>
              </w:numPr>
              <w:tabs>
                <w:tab w:val="left" w:pos="284"/>
              </w:tabs>
              <w:spacing w:before="120" w:after="120" w:line="360" w:lineRule="auto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706FF">
              <w:rPr>
                <w:rFonts w:ascii="Times New Roman" w:hAnsi="Times New Roman" w:cs="Times New Roman"/>
                <w:sz w:val="24"/>
                <w:szCs w:val="24"/>
              </w:rPr>
              <w:t>Ataçmanlarında</w:t>
            </w:r>
            <w:proofErr w:type="spellEnd"/>
            <w:r w:rsidRPr="003706FF">
              <w:rPr>
                <w:rFonts w:ascii="Times New Roman" w:hAnsi="Times New Roman" w:cs="Times New Roman"/>
                <w:sz w:val="24"/>
                <w:szCs w:val="24"/>
              </w:rPr>
              <w:t xml:space="preserve"> ortak uçlar kullanılmayan sistemler için ü</w:t>
            </w:r>
            <w:r w:rsidRPr="003706FF">
              <w:rPr>
                <w:rFonts w:ascii="Times New Roman" w:hAnsi="Times New Roman" w:cs="Times New Roman"/>
                <w:sz w:val="24"/>
              </w:rPr>
              <w:t xml:space="preserve">rün paketi üzerinde sistemin </w:t>
            </w:r>
            <w:proofErr w:type="spellStart"/>
            <w:r w:rsidRPr="003706FF">
              <w:rPr>
                <w:rFonts w:ascii="Times New Roman" w:hAnsi="Times New Roman" w:cs="Times New Roman"/>
                <w:sz w:val="24"/>
              </w:rPr>
              <w:t>ataçmanlarını</w:t>
            </w:r>
            <w:proofErr w:type="spellEnd"/>
            <w:r w:rsidRPr="003706FF">
              <w:rPr>
                <w:rFonts w:ascii="Times New Roman" w:hAnsi="Times New Roman" w:cs="Times New Roman"/>
                <w:sz w:val="24"/>
              </w:rPr>
              <w:t xml:space="preserve"> ifade eden renk kodları veya ayırt edici işaretler olmalıdır.</w:t>
            </w:r>
          </w:p>
        </w:tc>
      </w:tr>
      <w:tr w:rsidR="00103F7F" w:rsidRPr="003706FF" w:rsidTr="00DA1E68">
        <w:trPr>
          <w:trHeight w:val="1640"/>
        </w:trPr>
        <w:tc>
          <w:tcPr>
            <w:tcW w:w="1695" w:type="dxa"/>
          </w:tcPr>
          <w:p w:rsidR="002B5FC0" w:rsidRPr="00412649" w:rsidRDefault="002B5FC0" w:rsidP="002B5FC0">
            <w:pPr>
              <w:pStyle w:val="Balk2"/>
              <w:spacing w:line="360" w:lineRule="auto"/>
              <w:ind w:left="113" w:right="113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1264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  <w:p w:rsidR="008E7073" w:rsidRPr="003706FF" w:rsidRDefault="008E7073" w:rsidP="002B5FC0">
            <w:pPr>
              <w:pStyle w:val="Balk2"/>
              <w:spacing w:line="360" w:lineRule="auto"/>
              <w:ind w:left="113" w:right="1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087" w:type="dxa"/>
            <w:shd w:val="clear" w:color="auto" w:fill="auto"/>
          </w:tcPr>
          <w:p w:rsidR="006239CC" w:rsidRPr="003706FF" w:rsidRDefault="007C5CAF" w:rsidP="007C5CAF">
            <w:pPr>
              <w:pStyle w:val="ListeParagraf"/>
              <w:numPr>
                <w:ilvl w:val="0"/>
                <w:numId w:val="12"/>
              </w:numPr>
              <w:tabs>
                <w:tab w:val="left" w:pos="284"/>
              </w:tabs>
              <w:spacing w:before="120" w:after="120" w:line="360" w:lineRule="auto"/>
              <w:ind w:right="11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0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tr-TR"/>
              </w:rPr>
              <w:t>Yüksek Devirli Motor Ucu (Cihaz</w:t>
            </w:r>
            <w:r w:rsidR="002D2748" w:rsidRPr="00370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tr-TR"/>
              </w:rPr>
              <w:t xml:space="preserve"> Seti </w:t>
            </w:r>
            <w:r w:rsidRPr="00370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tr-TR"/>
              </w:rPr>
              <w:t>Dahil) talep eden sağlık tesislerine</w:t>
            </w:r>
            <w:r w:rsidRPr="00370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;</w:t>
            </w:r>
          </w:p>
          <w:p w:rsidR="00095777" w:rsidRPr="003706FF" w:rsidRDefault="000D4086" w:rsidP="007C5CAF">
            <w:pPr>
              <w:pStyle w:val="ListeParagraf"/>
              <w:numPr>
                <w:ilvl w:val="0"/>
                <w:numId w:val="18"/>
              </w:numPr>
              <w:tabs>
                <w:tab w:val="left" w:pos="284"/>
              </w:tabs>
              <w:spacing w:before="120" w:after="120" w:line="360" w:lineRule="auto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6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Yüklenici firma her 300 adet uç için 1 (bir) adet yüksek devirli motor sistemi ve hekim ihtiyacına göre en az 4 (dört) adet farklı tiplerde </w:t>
            </w:r>
            <w:proofErr w:type="spellStart"/>
            <w:r w:rsidRPr="003706FF">
              <w:rPr>
                <w:rFonts w:ascii="Times New Roman" w:eastAsia="Calibri" w:hAnsi="Times New Roman" w:cs="Times New Roman"/>
                <w:sz w:val="24"/>
                <w:szCs w:val="24"/>
              </w:rPr>
              <w:t>ataçman</w:t>
            </w:r>
            <w:r w:rsidR="007370AC" w:rsidRPr="003706FF">
              <w:rPr>
                <w:rFonts w:ascii="Times New Roman" w:eastAsia="Calibri" w:hAnsi="Times New Roman" w:cs="Times New Roman"/>
                <w:sz w:val="24"/>
                <w:szCs w:val="24"/>
              </w:rPr>
              <w:t>ı</w:t>
            </w:r>
            <w:proofErr w:type="spellEnd"/>
            <w:r w:rsidRPr="003706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ve tamamlayıcı aksesuarları mülkiyeti firmada kalmak koşulu ile uçlar bitene kadar </w:t>
            </w:r>
            <w:r w:rsidR="00E34347" w:rsidRPr="003706FF">
              <w:rPr>
                <w:rFonts w:ascii="Times New Roman" w:eastAsia="Calibri" w:hAnsi="Times New Roman" w:cs="Times New Roman"/>
                <w:sz w:val="24"/>
                <w:szCs w:val="24"/>
              </w:rPr>
              <w:t>bırakmakla yükümlüdür.</w:t>
            </w:r>
          </w:p>
          <w:p w:rsidR="00165739" w:rsidRPr="003706FF" w:rsidRDefault="006733A6" w:rsidP="00165739">
            <w:pPr>
              <w:pStyle w:val="ListeParagraf"/>
              <w:numPr>
                <w:ilvl w:val="0"/>
                <w:numId w:val="18"/>
              </w:numPr>
              <w:tabs>
                <w:tab w:val="left" w:pos="284"/>
              </w:tabs>
              <w:spacing w:before="120" w:after="120" w:line="360" w:lineRule="auto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6FF">
              <w:rPr>
                <w:rFonts w:ascii="Times New Roman" w:eastAsia="Calibri" w:hAnsi="Times New Roman" w:cs="Times New Roman"/>
                <w:sz w:val="24"/>
                <w:szCs w:val="24"/>
              </w:rPr>
              <w:t>Yüklenici firma 300 adet</w:t>
            </w:r>
            <w:r w:rsidR="00B74BD8" w:rsidRPr="003706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altındaki </w:t>
            </w:r>
            <w:r w:rsidRPr="003706FF">
              <w:rPr>
                <w:rFonts w:ascii="Times New Roman" w:eastAsia="Calibri" w:hAnsi="Times New Roman" w:cs="Times New Roman"/>
                <w:sz w:val="24"/>
                <w:szCs w:val="24"/>
              </w:rPr>
              <w:t>uç talepler</w:t>
            </w:r>
            <w:r w:rsidR="00782CF1" w:rsidRPr="003706FF">
              <w:rPr>
                <w:rFonts w:ascii="Times New Roman" w:eastAsia="Calibri" w:hAnsi="Times New Roman" w:cs="Times New Roman"/>
                <w:sz w:val="24"/>
                <w:szCs w:val="24"/>
              </w:rPr>
              <w:t>inde</w:t>
            </w:r>
            <w:r w:rsidR="00377F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706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toplam 1 (bir) adet yüksek devirli motor sistemi ve hekim ihtiyacına göre en az 4 (dört) adet farklı tiplerde </w:t>
            </w:r>
            <w:proofErr w:type="spellStart"/>
            <w:r w:rsidRPr="003706FF">
              <w:rPr>
                <w:rFonts w:ascii="Times New Roman" w:eastAsia="Calibri" w:hAnsi="Times New Roman" w:cs="Times New Roman"/>
                <w:sz w:val="24"/>
                <w:szCs w:val="24"/>
              </w:rPr>
              <w:t>ataçman</w:t>
            </w:r>
            <w:proofErr w:type="spellEnd"/>
            <w:r w:rsidRPr="003706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ve tamamlayıcı aksesuarları mülkiyeti firmada kalmak koşulu ile uçlar bitene kadar </w:t>
            </w:r>
            <w:r w:rsidR="00EA03AF" w:rsidRPr="003706FF">
              <w:rPr>
                <w:rFonts w:ascii="Times New Roman" w:eastAsia="Calibri" w:hAnsi="Times New Roman" w:cs="Times New Roman"/>
                <w:sz w:val="24"/>
                <w:szCs w:val="24"/>
              </w:rPr>
              <w:t>bırakmakla yükümlüdür.</w:t>
            </w:r>
          </w:p>
          <w:p w:rsidR="00165739" w:rsidRPr="003706FF" w:rsidRDefault="00793346" w:rsidP="00165739">
            <w:pPr>
              <w:pStyle w:val="ListeParagraf"/>
              <w:numPr>
                <w:ilvl w:val="0"/>
                <w:numId w:val="18"/>
              </w:numPr>
              <w:tabs>
                <w:tab w:val="left" w:pos="284"/>
              </w:tabs>
              <w:spacing w:before="120" w:after="120" w:line="360" w:lineRule="auto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6FF">
              <w:rPr>
                <w:rFonts w:ascii="Times New Roman" w:eastAsia="Calibri" w:hAnsi="Times New Roman" w:cs="Times New Roman"/>
                <w:sz w:val="24"/>
                <w:szCs w:val="24"/>
              </w:rPr>
              <w:t>Yüklenici firma s</w:t>
            </w:r>
            <w:r w:rsidR="00F3690D" w:rsidRPr="003706FF">
              <w:rPr>
                <w:rFonts w:ascii="Times New Roman" w:eastAsia="Calibri" w:hAnsi="Times New Roman" w:cs="Times New Roman"/>
                <w:sz w:val="24"/>
                <w:szCs w:val="24"/>
              </w:rPr>
              <w:t>istem arıza bildirimi yapıldıktan sonra en geç 24 saat içinde cihaza müdahale e</w:t>
            </w:r>
            <w:r w:rsidRPr="003706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tmeli </w:t>
            </w:r>
            <w:r w:rsidR="00F3690D" w:rsidRPr="003706FF">
              <w:rPr>
                <w:rFonts w:ascii="Times New Roman" w:eastAsia="Calibri" w:hAnsi="Times New Roman" w:cs="Times New Roman"/>
                <w:sz w:val="24"/>
                <w:szCs w:val="24"/>
              </w:rPr>
              <w:t>ve en geç</w:t>
            </w:r>
            <w:r w:rsidR="00B04CAA" w:rsidRPr="003706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24 saat içinde arızalı ürünün yerine kullanım için</w:t>
            </w:r>
            <w:r w:rsidR="000C26F7" w:rsidRPr="003706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gerekli </w:t>
            </w:r>
            <w:r w:rsidR="00FD0277" w:rsidRPr="003706FF">
              <w:rPr>
                <w:rFonts w:ascii="Times New Roman" w:eastAsia="Calibri" w:hAnsi="Times New Roman" w:cs="Times New Roman"/>
                <w:sz w:val="24"/>
                <w:szCs w:val="24"/>
              </w:rPr>
              <w:t>eksik ekipman bıra</w:t>
            </w:r>
            <w:r w:rsidRPr="003706FF">
              <w:rPr>
                <w:rFonts w:ascii="Times New Roman" w:eastAsia="Calibri" w:hAnsi="Times New Roman" w:cs="Times New Roman"/>
                <w:sz w:val="24"/>
                <w:szCs w:val="24"/>
              </w:rPr>
              <w:t>kmakla yükümlüdür.</w:t>
            </w:r>
            <w:r w:rsidR="00377F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96D8F" w:rsidRPr="003706FF">
              <w:rPr>
                <w:rFonts w:ascii="Times New Roman" w:hAnsi="Times New Roman" w:cs="Times New Roman"/>
                <w:sz w:val="24"/>
                <w:szCs w:val="24"/>
              </w:rPr>
              <w:t>Bu</w:t>
            </w:r>
            <w:r w:rsidR="00377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6D8F" w:rsidRPr="003706FF">
              <w:rPr>
                <w:rFonts w:ascii="Times New Roman" w:hAnsi="Times New Roman" w:cs="Times New Roman"/>
                <w:sz w:val="24"/>
                <w:szCs w:val="24"/>
              </w:rPr>
              <w:t xml:space="preserve">süre cihaza ilişkin arızanın ilgili sağlık tesisi ya da bağlı bulunduğu üst idare tarafından yükleniciye veya yetkili servise bildirildiği tarih ve saatte başlar. </w:t>
            </w:r>
          </w:p>
          <w:p w:rsidR="006061C4" w:rsidRPr="006061C4" w:rsidRDefault="00777100" w:rsidP="006061C4">
            <w:pPr>
              <w:pStyle w:val="ListeParagraf"/>
              <w:numPr>
                <w:ilvl w:val="0"/>
                <w:numId w:val="18"/>
              </w:numPr>
              <w:tabs>
                <w:tab w:val="left" w:pos="284"/>
              </w:tabs>
              <w:spacing w:before="120" w:after="120" w:line="360" w:lineRule="auto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6061C4">
              <w:rPr>
                <w:rFonts w:ascii="Times New Roman" w:hAnsi="Times New Roman" w:cs="Times New Roman"/>
                <w:sz w:val="24"/>
                <w:szCs w:val="24"/>
              </w:rPr>
              <w:t xml:space="preserve">üklenici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firma c</w:t>
            </w:r>
            <w:r w:rsidR="00165739" w:rsidRPr="006061C4">
              <w:rPr>
                <w:rFonts w:ascii="Times New Roman" w:hAnsi="Times New Roman" w:cs="Times New Roman"/>
                <w:sz w:val="24"/>
                <w:szCs w:val="24"/>
              </w:rPr>
              <w:t>ihazın montajı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nı</w:t>
            </w:r>
            <w:r w:rsidR="00165739" w:rsidRPr="006061C4">
              <w:rPr>
                <w:rFonts w:ascii="Times New Roman" w:hAnsi="Times New Roman" w:cs="Times New Roman"/>
                <w:sz w:val="24"/>
                <w:szCs w:val="24"/>
              </w:rPr>
              <w:t xml:space="preserve"> ücretsiz ve şartnameye uygun olarak tamamla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mak ve </w:t>
            </w:r>
            <w:r w:rsidR="00165739" w:rsidRPr="006061C4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65739" w:rsidRPr="006061C4">
              <w:rPr>
                <w:rFonts w:ascii="Times New Roman" w:hAnsi="Times New Roman" w:cs="Times New Roman"/>
                <w:sz w:val="24"/>
                <w:szCs w:val="24"/>
              </w:rPr>
              <w:t xml:space="preserve"> çalışır vaziye</w:t>
            </w:r>
            <w:r w:rsidR="00A727E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165739" w:rsidRPr="006061C4">
              <w:rPr>
                <w:rFonts w:ascii="Times New Roman" w:hAnsi="Times New Roman" w:cs="Times New Roman"/>
                <w:sz w:val="24"/>
                <w:szCs w:val="24"/>
              </w:rPr>
              <w:t>te teslim 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tmekle yükümlüdür.</w:t>
            </w:r>
          </w:p>
          <w:p w:rsidR="00165739" w:rsidRPr="00F05BEA" w:rsidRDefault="006B1D7D" w:rsidP="00F05BEA">
            <w:pPr>
              <w:pStyle w:val="ListeParagraf"/>
              <w:numPr>
                <w:ilvl w:val="0"/>
                <w:numId w:val="18"/>
              </w:numPr>
              <w:tabs>
                <w:tab w:val="left" w:pos="284"/>
              </w:tabs>
              <w:spacing w:before="120" w:after="120" w:line="360" w:lineRule="auto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Yüklenici firmanın teslim edeceği cihaz </w:t>
            </w:r>
            <w:r w:rsidR="00165739" w:rsidRPr="006061C4">
              <w:rPr>
                <w:rFonts w:ascii="Times New Roman" w:hAnsi="Times New Roman" w:cs="Times New Roman"/>
                <w:sz w:val="24"/>
                <w:szCs w:val="24"/>
              </w:rPr>
              <w:t>Tıbbi Cihaz ve Tıbbi Hizmet Alımları Genelgesi gereğince 10 yaşından büyük olmayacaktır. Bu cihazların yaşları, imalat tarihi ve seri numarası ile belgelendirilecektir.</w:t>
            </w:r>
          </w:p>
          <w:p w:rsidR="00F05BEA" w:rsidRPr="00F05BEA" w:rsidRDefault="00351F1A" w:rsidP="00F05BEA">
            <w:pPr>
              <w:pStyle w:val="ListeParagraf"/>
              <w:numPr>
                <w:ilvl w:val="0"/>
                <w:numId w:val="18"/>
              </w:numPr>
              <w:tabs>
                <w:tab w:val="left" w:pos="284"/>
              </w:tabs>
              <w:spacing w:before="120" w:after="120" w:line="360" w:lineRule="auto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6FF">
              <w:rPr>
                <w:rFonts w:ascii="Times New Roman" w:eastAsia="Calibri" w:hAnsi="Times New Roman" w:cs="Times New Roman"/>
                <w:sz w:val="24"/>
                <w:szCs w:val="24"/>
              </w:rPr>
              <w:t>Yüklenici firma b</w:t>
            </w:r>
            <w:r w:rsidR="00F3690D" w:rsidRPr="003706FF">
              <w:rPr>
                <w:rFonts w:ascii="Times New Roman" w:eastAsia="Calibri" w:hAnsi="Times New Roman" w:cs="Times New Roman"/>
                <w:sz w:val="24"/>
                <w:szCs w:val="24"/>
              </w:rPr>
              <w:t>akım onarım süresi boyunca Sağlık Tesisine 1 (bir) adet yedek cihazı bırakmakla yükümlüdür</w:t>
            </w:r>
            <w:r w:rsidR="00095777" w:rsidRPr="003706F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F05BEA" w:rsidRPr="006B1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5BEA" w:rsidRPr="006B1D7D" w:rsidRDefault="00F05BEA" w:rsidP="00F05BEA">
            <w:pPr>
              <w:pStyle w:val="ListeParagraf"/>
              <w:numPr>
                <w:ilvl w:val="0"/>
                <w:numId w:val="18"/>
              </w:numPr>
              <w:tabs>
                <w:tab w:val="left" w:pos="284"/>
              </w:tabs>
              <w:spacing w:before="120" w:after="120" w:line="360" w:lineRule="auto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D7D">
              <w:rPr>
                <w:rFonts w:ascii="Times New Roman" w:hAnsi="Times New Roman" w:cs="Times New Roman"/>
                <w:sz w:val="24"/>
                <w:szCs w:val="24"/>
              </w:rPr>
              <w:t>Cihazlar setler bitene kadar hastanede kullanılacaktır. Süre sonunda sağlık tesisi tarafından cihazlar eksiksiz olarak firmaya teslim edilecektir.</w:t>
            </w:r>
          </w:p>
          <w:p w:rsidR="007C5CAF" w:rsidRPr="00F05BEA" w:rsidRDefault="007C5CAF" w:rsidP="00F05BEA">
            <w:pPr>
              <w:pStyle w:val="ListeParagraf"/>
              <w:numPr>
                <w:ilvl w:val="0"/>
                <w:numId w:val="12"/>
              </w:numPr>
              <w:tabs>
                <w:tab w:val="left" w:pos="284"/>
              </w:tabs>
              <w:spacing w:before="120" w:after="120" w:line="360" w:lineRule="auto"/>
              <w:ind w:right="11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F05B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tr-TR"/>
              </w:rPr>
              <w:t>Yüksek Devirli Motor Ucu (Cihaz</w:t>
            </w:r>
            <w:r w:rsidR="00E0316B" w:rsidRPr="00F05B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tr-TR"/>
              </w:rPr>
              <w:t xml:space="preserve"> Seti</w:t>
            </w:r>
            <w:r w:rsidR="0088710A" w:rsidRPr="00F05B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tr-TR"/>
              </w:rPr>
              <w:t xml:space="preserve"> </w:t>
            </w:r>
            <w:r w:rsidR="00E0316B" w:rsidRPr="00F05B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tr-TR"/>
              </w:rPr>
              <w:t>Hariç</w:t>
            </w:r>
            <w:r w:rsidRPr="00F05B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tr-TR"/>
              </w:rPr>
              <w:t>)</w:t>
            </w:r>
            <w:r w:rsidR="00D02A84" w:rsidRPr="00F05B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tr-TR"/>
              </w:rPr>
              <w:t xml:space="preserve"> talep eden sağlık tesislerine</w:t>
            </w:r>
            <w:r w:rsidR="00A45D0E" w:rsidRPr="00F05B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tr-TR"/>
              </w:rPr>
              <w:t>;</w:t>
            </w:r>
          </w:p>
          <w:p w:rsidR="00177B17" w:rsidRPr="00AF0452" w:rsidRDefault="00A45D0E" w:rsidP="00A45D0E">
            <w:pPr>
              <w:pStyle w:val="ListeParagraf"/>
              <w:numPr>
                <w:ilvl w:val="0"/>
                <w:numId w:val="20"/>
              </w:numPr>
              <w:tabs>
                <w:tab w:val="left" w:pos="284"/>
              </w:tabs>
              <w:spacing w:before="120" w:after="120" w:line="360" w:lineRule="auto"/>
              <w:ind w:right="11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AF0452">
              <w:rPr>
                <w:rFonts w:ascii="Times New Roman" w:eastAsia="Calibri" w:hAnsi="Times New Roman" w:cs="Times New Roman"/>
                <w:sz w:val="24"/>
                <w:szCs w:val="24"/>
              </w:rPr>
              <w:t>Yüklenici firma</w:t>
            </w:r>
            <w:r w:rsidR="00D71D9C" w:rsidRPr="00AF04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1D9C" w:rsidRPr="00AF0452">
              <w:rPr>
                <w:rFonts w:ascii="Times New Roman" w:eastAsia="Calibri" w:hAnsi="Times New Roman" w:cs="Times New Roman"/>
                <w:sz w:val="24"/>
                <w:szCs w:val="24"/>
              </w:rPr>
              <w:t>ataçman</w:t>
            </w:r>
            <w:proofErr w:type="spellEnd"/>
            <w:r w:rsidR="007F67F0" w:rsidRPr="00AF04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71D9C" w:rsidRPr="00AF0452">
              <w:rPr>
                <w:rFonts w:ascii="Times New Roman" w:eastAsia="Calibri" w:hAnsi="Times New Roman" w:cs="Times New Roman"/>
                <w:sz w:val="24"/>
                <w:szCs w:val="24"/>
              </w:rPr>
              <w:t>ve tamamlayıcı aksesuarları temin etmekle yükümlü değildir.</w:t>
            </w:r>
            <w:bookmarkStart w:id="0" w:name="_GoBack"/>
            <w:bookmarkEnd w:id="0"/>
          </w:p>
          <w:p w:rsidR="00C21887" w:rsidRPr="003706FF" w:rsidRDefault="00C21887" w:rsidP="00A45D0E">
            <w:pPr>
              <w:pStyle w:val="ListeParagraf"/>
              <w:numPr>
                <w:ilvl w:val="0"/>
                <w:numId w:val="20"/>
              </w:numPr>
              <w:tabs>
                <w:tab w:val="left" w:pos="284"/>
              </w:tabs>
              <w:spacing w:before="120" w:after="120" w:line="360" w:lineRule="auto"/>
              <w:ind w:right="11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AF0452"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  <w:r w:rsidR="00AF0452">
              <w:rPr>
                <w:rFonts w:ascii="Times New Roman" w:eastAsia="Calibri" w:hAnsi="Times New Roman" w:cs="Times New Roman"/>
                <w:sz w:val="24"/>
                <w:szCs w:val="24"/>
              </w:rPr>
              <w:t>alep</w:t>
            </w:r>
            <w:r w:rsidRPr="00AF04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edilen uçlar hastanede kullanılan yüksek devirli motor sistemi ile aynı üretici tarafından üretilmiş, aynı marka ve orijinal ürün olmalıdır</w:t>
            </w:r>
            <w:r w:rsidR="00AF0452" w:rsidRPr="00AF045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F64826" w:rsidRPr="003706FF" w:rsidRDefault="00F64826" w:rsidP="00884AF6">
      <w:pPr>
        <w:spacing w:before="120" w:after="120" w:line="360" w:lineRule="auto"/>
        <w:ind w:left="113" w:right="113"/>
        <w:jc w:val="both"/>
        <w:rPr>
          <w:rFonts w:ascii="Times New Roman" w:hAnsi="Times New Roman" w:cs="Times New Roman"/>
          <w:sz w:val="32"/>
          <w:szCs w:val="32"/>
        </w:rPr>
      </w:pPr>
    </w:p>
    <w:p w:rsidR="00650D71" w:rsidRPr="003706FF" w:rsidRDefault="00650D71" w:rsidP="00884AF6">
      <w:pPr>
        <w:spacing w:before="120" w:after="120" w:line="360" w:lineRule="auto"/>
        <w:ind w:left="113" w:right="113"/>
        <w:jc w:val="both"/>
        <w:rPr>
          <w:rFonts w:ascii="Times New Roman" w:hAnsi="Times New Roman" w:cs="Times New Roman"/>
          <w:sz w:val="32"/>
          <w:szCs w:val="32"/>
        </w:rPr>
      </w:pPr>
    </w:p>
    <w:sectPr w:rsidR="00650D71" w:rsidRPr="003706F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7319" w:rsidRDefault="00847319" w:rsidP="00095126">
      <w:pPr>
        <w:spacing w:after="0" w:line="240" w:lineRule="auto"/>
      </w:pPr>
      <w:r>
        <w:separator/>
      </w:r>
    </w:p>
  </w:endnote>
  <w:endnote w:type="continuationSeparator" w:id="0">
    <w:p w:rsidR="00847319" w:rsidRDefault="00847319" w:rsidP="00095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48685182"/>
      <w:docPartObj>
        <w:docPartGallery w:val="Page Numbers (Bottom of Page)"/>
        <w:docPartUnique/>
      </w:docPartObj>
    </w:sdtPr>
    <w:sdtEndPr/>
    <w:sdtContent>
      <w:p w:rsidR="00095126" w:rsidRDefault="0009512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045B">
          <w:rPr>
            <w:noProof/>
          </w:rPr>
          <w:t>2</w:t>
        </w:r>
        <w:r>
          <w:fldChar w:fldCharType="end"/>
        </w:r>
      </w:p>
    </w:sdtContent>
  </w:sdt>
  <w:p w:rsidR="00095126" w:rsidRDefault="0009512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7319" w:rsidRDefault="00847319" w:rsidP="00095126">
      <w:pPr>
        <w:spacing w:after="0" w:line="240" w:lineRule="auto"/>
      </w:pPr>
      <w:r>
        <w:separator/>
      </w:r>
    </w:p>
  </w:footnote>
  <w:footnote w:type="continuationSeparator" w:id="0">
    <w:p w:rsidR="00847319" w:rsidRDefault="00847319" w:rsidP="00095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7073" w:rsidRPr="0048338A" w:rsidRDefault="008E7073" w:rsidP="008E7073">
    <w:pPr>
      <w:spacing w:before="120" w:after="120" w:line="360" w:lineRule="auto"/>
      <w:jc w:val="both"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 w:rsidRPr="004037FE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SMT2392-YÜKSEK DEVİRLİ MOTOR UCU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63B7E"/>
    <w:multiLevelType w:val="hybridMultilevel"/>
    <w:tmpl w:val="521671E2"/>
    <w:lvl w:ilvl="0" w:tplc="041F0019">
      <w:start w:val="1"/>
      <w:numFmt w:val="lowerLetter"/>
      <w:lvlText w:val="%1."/>
      <w:lvlJc w:val="left"/>
      <w:pPr>
        <w:ind w:left="1068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B8107BA"/>
    <w:multiLevelType w:val="hybridMultilevel"/>
    <w:tmpl w:val="9F5AD2EA"/>
    <w:lvl w:ilvl="0" w:tplc="E196E3A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743E1"/>
    <w:multiLevelType w:val="hybridMultilevel"/>
    <w:tmpl w:val="BDAE619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2A0671"/>
    <w:multiLevelType w:val="hybridMultilevel"/>
    <w:tmpl w:val="8832822E"/>
    <w:lvl w:ilvl="0" w:tplc="BC941CC6">
      <w:start w:val="1"/>
      <w:numFmt w:val="lowerLetter"/>
      <w:lvlText w:val="%1."/>
      <w:lvlJc w:val="left"/>
      <w:pPr>
        <w:ind w:left="7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4DA7498"/>
    <w:multiLevelType w:val="hybridMultilevel"/>
    <w:tmpl w:val="53F42A9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7911E0"/>
    <w:multiLevelType w:val="hybridMultilevel"/>
    <w:tmpl w:val="DAA47880"/>
    <w:lvl w:ilvl="0" w:tplc="7492A6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9B7027"/>
    <w:multiLevelType w:val="hybridMultilevel"/>
    <w:tmpl w:val="A3441126"/>
    <w:lvl w:ilvl="0" w:tplc="4E70885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01931"/>
    <w:multiLevelType w:val="hybridMultilevel"/>
    <w:tmpl w:val="746257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61D00"/>
    <w:multiLevelType w:val="hybridMultilevel"/>
    <w:tmpl w:val="BAFCE03C"/>
    <w:lvl w:ilvl="0" w:tplc="A198DF30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D6478EB"/>
    <w:multiLevelType w:val="hybridMultilevel"/>
    <w:tmpl w:val="EA34506E"/>
    <w:lvl w:ilvl="0" w:tplc="85F8E0CE">
      <w:start w:val="4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8113D5"/>
    <w:multiLevelType w:val="hybridMultilevel"/>
    <w:tmpl w:val="F3A0EC3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B26160"/>
    <w:multiLevelType w:val="hybridMultilevel"/>
    <w:tmpl w:val="C2EEDBF6"/>
    <w:lvl w:ilvl="0" w:tplc="041F0019">
      <w:start w:val="1"/>
      <w:numFmt w:val="lowerLetter"/>
      <w:lvlText w:val="%1."/>
      <w:lvlJc w:val="left"/>
      <w:pPr>
        <w:ind w:left="1200" w:hanging="360"/>
      </w:pPr>
    </w:lvl>
    <w:lvl w:ilvl="1" w:tplc="041F0019" w:tentative="1">
      <w:start w:val="1"/>
      <w:numFmt w:val="lowerLetter"/>
      <w:lvlText w:val="%2."/>
      <w:lvlJc w:val="left"/>
      <w:pPr>
        <w:ind w:left="1920" w:hanging="360"/>
      </w:pPr>
    </w:lvl>
    <w:lvl w:ilvl="2" w:tplc="041F001B" w:tentative="1">
      <w:start w:val="1"/>
      <w:numFmt w:val="lowerRoman"/>
      <w:lvlText w:val="%3."/>
      <w:lvlJc w:val="right"/>
      <w:pPr>
        <w:ind w:left="2640" w:hanging="180"/>
      </w:pPr>
    </w:lvl>
    <w:lvl w:ilvl="3" w:tplc="041F000F" w:tentative="1">
      <w:start w:val="1"/>
      <w:numFmt w:val="decimal"/>
      <w:lvlText w:val="%4."/>
      <w:lvlJc w:val="left"/>
      <w:pPr>
        <w:ind w:left="3360" w:hanging="360"/>
      </w:pPr>
    </w:lvl>
    <w:lvl w:ilvl="4" w:tplc="041F0019" w:tentative="1">
      <w:start w:val="1"/>
      <w:numFmt w:val="lowerLetter"/>
      <w:lvlText w:val="%5."/>
      <w:lvlJc w:val="left"/>
      <w:pPr>
        <w:ind w:left="4080" w:hanging="360"/>
      </w:pPr>
    </w:lvl>
    <w:lvl w:ilvl="5" w:tplc="041F001B" w:tentative="1">
      <w:start w:val="1"/>
      <w:numFmt w:val="lowerRoman"/>
      <w:lvlText w:val="%6."/>
      <w:lvlJc w:val="right"/>
      <w:pPr>
        <w:ind w:left="4800" w:hanging="180"/>
      </w:pPr>
    </w:lvl>
    <w:lvl w:ilvl="6" w:tplc="041F000F" w:tentative="1">
      <w:start w:val="1"/>
      <w:numFmt w:val="decimal"/>
      <w:lvlText w:val="%7."/>
      <w:lvlJc w:val="left"/>
      <w:pPr>
        <w:ind w:left="5520" w:hanging="360"/>
      </w:pPr>
    </w:lvl>
    <w:lvl w:ilvl="7" w:tplc="041F0019" w:tentative="1">
      <w:start w:val="1"/>
      <w:numFmt w:val="lowerLetter"/>
      <w:lvlText w:val="%8."/>
      <w:lvlJc w:val="left"/>
      <w:pPr>
        <w:ind w:left="6240" w:hanging="360"/>
      </w:pPr>
    </w:lvl>
    <w:lvl w:ilvl="8" w:tplc="041F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493D6B3C"/>
    <w:multiLevelType w:val="hybridMultilevel"/>
    <w:tmpl w:val="0BE0D15A"/>
    <w:lvl w:ilvl="0" w:tplc="FDA42956">
      <w:start w:val="1"/>
      <w:numFmt w:val="upperLetter"/>
      <w:lvlText w:val="%1."/>
      <w:lvlJc w:val="left"/>
      <w:pPr>
        <w:ind w:left="1140" w:hanging="360"/>
      </w:pPr>
      <w:rPr>
        <w:rFonts w:eastAsia="Times New Roman"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860" w:hanging="360"/>
      </w:pPr>
    </w:lvl>
    <w:lvl w:ilvl="2" w:tplc="041F001B" w:tentative="1">
      <w:start w:val="1"/>
      <w:numFmt w:val="lowerRoman"/>
      <w:lvlText w:val="%3."/>
      <w:lvlJc w:val="right"/>
      <w:pPr>
        <w:ind w:left="2580" w:hanging="180"/>
      </w:pPr>
    </w:lvl>
    <w:lvl w:ilvl="3" w:tplc="041F000F" w:tentative="1">
      <w:start w:val="1"/>
      <w:numFmt w:val="decimal"/>
      <w:lvlText w:val="%4."/>
      <w:lvlJc w:val="left"/>
      <w:pPr>
        <w:ind w:left="3300" w:hanging="360"/>
      </w:pPr>
    </w:lvl>
    <w:lvl w:ilvl="4" w:tplc="041F0019" w:tentative="1">
      <w:start w:val="1"/>
      <w:numFmt w:val="lowerLetter"/>
      <w:lvlText w:val="%5."/>
      <w:lvlJc w:val="left"/>
      <w:pPr>
        <w:ind w:left="4020" w:hanging="360"/>
      </w:pPr>
    </w:lvl>
    <w:lvl w:ilvl="5" w:tplc="041F001B" w:tentative="1">
      <w:start w:val="1"/>
      <w:numFmt w:val="lowerRoman"/>
      <w:lvlText w:val="%6."/>
      <w:lvlJc w:val="right"/>
      <w:pPr>
        <w:ind w:left="4740" w:hanging="180"/>
      </w:pPr>
    </w:lvl>
    <w:lvl w:ilvl="6" w:tplc="041F000F" w:tentative="1">
      <w:start w:val="1"/>
      <w:numFmt w:val="decimal"/>
      <w:lvlText w:val="%7."/>
      <w:lvlJc w:val="left"/>
      <w:pPr>
        <w:ind w:left="5460" w:hanging="360"/>
      </w:pPr>
    </w:lvl>
    <w:lvl w:ilvl="7" w:tplc="041F0019" w:tentative="1">
      <w:start w:val="1"/>
      <w:numFmt w:val="lowerLetter"/>
      <w:lvlText w:val="%8."/>
      <w:lvlJc w:val="left"/>
      <w:pPr>
        <w:ind w:left="6180" w:hanging="360"/>
      </w:pPr>
    </w:lvl>
    <w:lvl w:ilvl="8" w:tplc="041F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4BE97E25"/>
    <w:multiLevelType w:val="hybridMultilevel"/>
    <w:tmpl w:val="184C87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140CA6"/>
    <w:multiLevelType w:val="hybridMultilevel"/>
    <w:tmpl w:val="7CF2C25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302BF8"/>
    <w:multiLevelType w:val="hybridMultilevel"/>
    <w:tmpl w:val="2108B368"/>
    <w:lvl w:ilvl="0" w:tplc="3800D356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6900F2"/>
    <w:multiLevelType w:val="hybridMultilevel"/>
    <w:tmpl w:val="7F0ECC34"/>
    <w:lvl w:ilvl="0" w:tplc="7ECCC754">
      <w:start w:val="1"/>
      <w:numFmt w:val="decimal"/>
      <w:lvlText w:val="%1."/>
      <w:lvlJc w:val="left"/>
      <w:pPr>
        <w:ind w:left="420" w:hanging="360"/>
      </w:pPr>
      <w:rPr>
        <w:rFonts w:eastAsia="Calibri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54E10E0B"/>
    <w:multiLevelType w:val="hybridMultilevel"/>
    <w:tmpl w:val="86E23304"/>
    <w:lvl w:ilvl="0" w:tplc="B636ABFC">
      <w:start w:val="1"/>
      <w:numFmt w:val="upperLetter"/>
      <w:lvlText w:val="%1."/>
      <w:lvlJc w:val="left"/>
      <w:pPr>
        <w:ind w:left="1140" w:hanging="360"/>
      </w:pPr>
      <w:rPr>
        <w:rFonts w:eastAsia="Times New Roman"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860" w:hanging="360"/>
      </w:pPr>
    </w:lvl>
    <w:lvl w:ilvl="2" w:tplc="041F001B" w:tentative="1">
      <w:start w:val="1"/>
      <w:numFmt w:val="lowerRoman"/>
      <w:lvlText w:val="%3."/>
      <w:lvlJc w:val="right"/>
      <w:pPr>
        <w:ind w:left="2580" w:hanging="180"/>
      </w:pPr>
    </w:lvl>
    <w:lvl w:ilvl="3" w:tplc="041F000F" w:tentative="1">
      <w:start w:val="1"/>
      <w:numFmt w:val="decimal"/>
      <w:lvlText w:val="%4."/>
      <w:lvlJc w:val="left"/>
      <w:pPr>
        <w:ind w:left="3300" w:hanging="360"/>
      </w:pPr>
    </w:lvl>
    <w:lvl w:ilvl="4" w:tplc="041F0019" w:tentative="1">
      <w:start w:val="1"/>
      <w:numFmt w:val="lowerLetter"/>
      <w:lvlText w:val="%5."/>
      <w:lvlJc w:val="left"/>
      <w:pPr>
        <w:ind w:left="4020" w:hanging="360"/>
      </w:pPr>
    </w:lvl>
    <w:lvl w:ilvl="5" w:tplc="041F001B" w:tentative="1">
      <w:start w:val="1"/>
      <w:numFmt w:val="lowerRoman"/>
      <w:lvlText w:val="%6."/>
      <w:lvlJc w:val="right"/>
      <w:pPr>
        <w:ind w:left="4740" w:hanging="180"/>
      </w:pPr>
    </w:lvl>
    <w:lvl w:ilvl="6" w:tplc="041F000F" w:tentative="1">
      <w:start w:val="1"/>
      <w:numFmt w:val="decimal"/>
      <w:lvlText w:val="%7."/>
      <w:lvlJc w:val="left"/>
      <w:pPr>
        <w:ind w:left="5460" w:hanging="360"/>
      </w:pPr>
    </w:lvl>
    <w:lvl w:ilvl="7" w:tplc="041F0019" w:tentative="1">
      <w:start w:val="1"/>
      <w:numFmt w:val="lowerLetter"/>
      <w:lvlText w:val="%8."/>
      <w:lvlJc w:val="left"/>
      <w:pPr>
        <w:ind w:left="6180" w:hanging="360"/>
      </w:pPr>
    </w:lvl>
    <w:lvl w:ilvl="8" w:tplc="041F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 w15:restartNumberingAfterBreak="0">
    <w:nsid w:val="55DA544D"/>
    <w:multiLevelType w:val="hybridMultilevel"/>
    <w:tmpl w:val="823CD52A"/>
    <w:lvl w:ilvl="0" w:tplc="19226F70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67D76247"/>
    <w:multiLevelType w:val="hybridMultilevel"/>
    <w:tmpl w:val="3202EB52"/>
    <w:lvl w:ilvl="0" w:tplc="E1D2B8C0">
      <w:start w:val="1"/>
      <w:numFmt w:val="lowerLetter"/>
      <w:lvlText w:val="%1."/>
      <w:lvlJc w:val="left"/>
      <w:pPr>
        <w:ind w:left="78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70E8328B"/>
    <w:multiLevelType w:val="hybridMultilevel"/>
    <w:tmpl w:val="E2CC2FAE"/>
    <w:lvl w:ilvl="0" w:tplc="1400B53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4"/>
  </w:num>
  <w:num w:numId="3">
    <w:abstractNumId w:val="20"/>
  </w:num>
  <w:num w:numId="4">
    <w:abstractNumId w:val="4"/>
  </w:num>
  <w:num w:numId="5">
    <w:abstractNumId w:val="15"/>
  </w:num>
  <w:num w:numId="6">
    <w:abstractNumId w:val="2"/>
  </w:num>
  <w:num w:numId="7">
    <w:abstractNumId w:val="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3"/>
  </w:num>
  <w:num w:numId="11">
    <w:abstractNumId w:val="5"/>
  </w:num>
  <w:num w:numId="12">
    <w:abstractNumId w:val="16"/>
  </w:num>
  <w:num w:numId="13">
    <w:abstractNumId w:val="11"/>
  </w:num>
  <w:num w:numId="14">
    <w:abstractNumId w:val="19"/>
  </w:num>
  <w:num w:numId="15">
    <w:abstractNumId w:val="18"/>
  </w:num>
  <w:num w:numId="16">
    <w:abstractNumId w:val="17"/>
  </w:num>
  <w:num w:numId="17">
    <w:abstractNumId w:val="12"/>
  </w:num>
  <w:num w:numId="18">
    <w:abstractNumId w:val="3"/>
  </w:num>
  <w:num w:numId="19">
    <w:abstractNumId w:val="8"/>
  </w:num>
  <w:num w:numId="20">
    <w:abstractNumId w:val="1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B66"/>
    <w:rsid w:val="00004EA2"/>
    <w:rsid w:val="00016799"/>
    <w:rsid w:val="00033837"/>
    <w:rsid w:val="000466DA"/>
    <w:rsid w:val="00067ABF"/>
    <w:rsid w:val="00071A21"/>
    <w:rsid w:val="00095126"/>
    <w:rsid w:val="00095777"/>
    <w:rsid w:val="000A685C"/>
    <w:rsid w:val="000B4893"/>
    <w:rsid w:val="000C26F7"/>
    <w:rsid w:val="000C49C7"/>
    <w:rsid w:val="000C58A0"/>
    <w:rsid w:val="000D4086"/>
    <w:rsid w:val="00103988"/>
    <w:rsid w:val="00103F7F"/>
    <w:rsid w:val="00110B0E"/>
    <w:rsid w:val="0012620F"/>
    <w:rsid w:val="001320E5"/>
    <w:rsid w:val="00134747"/>
    <w:rsid w:val="00135A33"/>
    <w:rsid w:val="00151109"/>
    <w:rsid w:val="00162EB9"/>
    <w:rsid w:val="001655FA"/>
    <w:rsid w:val="00165739"/>
    <w:rsid w:val="00167C4C"/>
    <w:rsid w:val="0017669E"/>
    <w:rsid w:val="00177B17"/>
    <w:rsid w:val="0018053A"/>
    <w:rsid w:val="00182F3C"/>
    <w:rsid w:val="00193BCB"/>
    <w:rsid w:val="001950A6"/>
    <w:rsid w:val="00195A65"/>
    <w:rsid w:val="001A286F"/>
    <w:rsid w:val="001A34E3"/>
    <w:rsid w:val="001E6654"/>
    <w:rsid w:val="001F59AB"/>
    <w:rsid w:val="002719B8"/>
    <w:rsid w:val="002721C1"/>
    <w:rsid w:val="00274C81"/>
    <w:rsid w:val="002B5FC0"/>
    <w:rsid w:val="002C472B"/>
    <w:rsid w:val="002D2748"/>
    <w:rsid w:val="002E1EDE"/>
    <w:rsid w:val="002F29DC"/>
    <w:rsid w:val="0032086C"/>
    <w:rsid w:val="00340CDA"/>
    <w:rsid w:val="00341029"/>
    <w:rsid w:val="00351F1A"/>
    <w:rsid w:val="0036199F"/>
    <w:rsid w:val="003706FF"/>
    <w:rsid w:val="00377FE5"/>
    <w:rsid w:val="0039045B"/>
    <w:rsid w:val="003921AB"/>
    <w:rsid w:val="00395064"/>
    <w:rsid w:val="00396EF8"/>
    <w:rsid w:val="003A79DE"/>
    <w:rsid w:val="003C65C2"/>
    <w:rsid w:val="00412649"/>
    <w:rsid w:val="0043788B"/>
    <w:rsid w:val="004536A4"/>
    <w:rsid w:val="00456D99"/>
    <w:rsid w:val="004745F9"/>
    <w:rsid w:val="00475C10"/>
    <w:rsid w:val="004866B0"/>
    <w:rsid w:val="0049633F"/>
    <w:rsid w:val="004A064D"/>
    <w:rsid w:val="004A5E41"/>
    <w:rsid w:val="004B6175"/>
    <w:rsid w:val="004C1080"/>
    <w:rsid w:val="004D18FF"/>
    <w:rsid w:val="004D2D33"/>
    <w:rsid w:val="004E035E"/>
    <w:rsid w:val="004F0729"/>
    <w:rsid w:val="00501EE9"/>
    <w:rsid w:val="005141A7"/>
    <w:rsid w:val="005437CE"/>
    <w:rsid w:val="00565AB2"/>
    <w:rsid w:val="00584F8A"/>
    <w:rsid w:val="005A78F0"/>
    <w:rsid w:val="005B50DA"/>
    <w:rsid w:val="005B517E"/>
    <w:rsid w:val="005C068E"/>
    <w:rsid w:val="005C7A51"/>
    <w:rsid w:val="005D3C09"/>
    <w:rsid w:val="005F058B"/>
    <w:rsid w:val="006045BD"/>
    <w:rsid w:val="006061C4"/>
    <w:rsid w:val="00610E02"/>
    <w:rsid w:val="00613689"/>
    <w:rsid w:val="0062258D"/>
    <w:rsid w:val="0062281D"/>
    <w:rsid w:val="006239CC"/>
    <w:rsid w:val="00642BD7"/>
    <w:rsid w:val="00650A9C"/>
    <w:rsid w:val="00650D71"/>
    <w:rsid w:val="006733A6"/>
    <w:rsid w:val="006914BE"/>
    <w:rsid w:val="006917C7"/>
    <w:rsid w:val="006A1107"/>
    <w:rsid w:val="006B1D7D"/>
    <w:rsid w:val="006B5C77"/>
    <w:rsid w:val="006C7399"/>
    <w:rsid w:val="007370AC"/>
    <w:rsid w:val="00744561"/>
    <w:rsid w:val="007515C8"/>
    <w:rsid w:val="00755E19"/>
    <w:rsid w:val="00766BD5"/>
    <w:rsid w:val="0077217E"/>
    <w:rsid w:val="00775C1F"/>
    <w:rsid w:val="00777100"/>
    <w:rsid w:val="00782CF1"/>
    <w:rsid w:val="00793346"/>
    <w:rsid w:val="00796854"/>
    <w:rsid w:val="007B3704"/>
    <w:rsid w:val="007C5CAF"/>
    <w:rsid w:val="007E3A2C"/>
    <w:rsid w:val="007F67F0"/>
    <w:rsid w:val="008011EF"/>
    <w:rsid w:val="008071D9"/>
    <w:rsid w:val="00823A8F"/>
    <w:rsid w:val="00844865"/>
    <w:rsid w:val="0084727A"/>
    <w:rsid w:val="00847319"/>
    <w:rsid w:val="00850E8E"/>
    <w:rsid w:val="00853648"/>
    <w:rsid w:val="0085586B"/>
    <w:rsid w:val="00871A43"/>
    <w:rsid w:val="00883B52"/>
    <w:rsid w:val="00884AF6"/>
    <w:rsid w:val="0088710A"/>
    <w:rsid w:val="00890734"/>
    <w:rsid w:val="008A60BF"/>
    <w:rsid w:val="008A660F"/>
    <w:rsid w:val="008B2B3C"/>
    <w:rsid w:val="008B4291"/>
    <w:rsid w:val="008C5743"/>
    <w:rsid w:val="008C674A"/>
    <w:rsid w:val="008E345A"/>
    <w:rsid w:val="008E7073"/>
    <w:rsid w:val="008F72EF"/>
    <w:rsid w:val="00924205"/>
    <w:rsid w:val="0094166D"/>
    <w:rsid w:val="00956D35"/>
    <w:rsid w:val="00961C38"/>
    <w:rsid w:val="00980E1E"/>
    <w:rsid w:val="00994F7A"/>
    <w:rsid w:val="009C1BA5"/>
    <w:rsid w:val="009C7F8E"/>
    <w:rsid w:val="009D362E"/>
    <w:rsid w:val="009E4BF6"/>
    <w:rsid w:val="00A17C33"/>
    <w:rsid w:val="00A42FFC"/>
    <w:rsid w:val="00A43C5C"/>
    <w:rsid w:val="00A45AF3"/>
    <w:rsid w:val="00A45D0E"/>
    <w:rsid w:val="00A63CB0"/>
    <w:rsid w:val="00A70A56"/>
    <w:rsid w:val="00A70DBC"/>
    <w:rsid w:val="00A727E6"/>
    <w:rsid w:val="00A748AF"/>
    <w:rsid w:val="00A91248"/>
    <w:rsid w:val="00AA5188"/>
    <w:rsid w:val="00AD4549"/>
    <w:rsid w:val="00AE3FD5"/>
    <w:rsid w:val="00AF0452"/>
    <w:rsid w:val="00AF3F39"/>
    <w:rsid w:val="00AF7E43"/>
    <w:rsid w:val="00B04CAA"/>
    <w:rsid w:val="00B11F55"/>
    <w:rsid w:val="00B36865"/>
    <w:rsid w:val="00B43389"/>
    <w:rsid w:val="00B434F5"/>
    <w:rsid w:val="00B74BD8"/>
    <w:rsid w:val="00BA0221"/>
    <w:rsid w:val="00BB17AF"/>
    <w:rsid w:val="00BB4C69"/>
    <w:rsid w:val="00BB7AFB"/>
    <w:rsid w:val="00BD3D09"/>
    <w:rsid w:val="00BE2DC6"/>
    <w:rsid w:val="00BE55D9"/>
    <w:rsid w:val="00BF4C2D"/>
    <w:rsid w:val="00C11A03"/>
    <w:rsid w:val="00C16B02"/>
    <w:rsid w:val="00C17C06"/>
    <w:rsid w:val="00C21887"/>
    <w:rsid w:val="00C300FD"/>
    <w:rsid w:val="00C5026C"/>
    <w:rsid w:val="00C540AB"/>
    <w:rsid w:val="00C56014"/>
    <w:rsid w:val="00C57B66"/>
    <w:rsid w:val="00C611C4"/>
    <w:rsid w:val="00C64B73"/>
    <w:rsid w:val="00C6795E"/>
    <w:rsid w:val="00C80948"/>
    <w:rsid w:val="00CA355D"/>
    <w:rsid w:val="00CA617A"/>
    <w:rsid w:val="00CD1F22"/>
    <w:rsid w:val="00CE0E67"/>
    <w:rsid w:val="00D02A84"/>
    <w:rsid w:val="00D16E87"/>
    <w:rsid w:val="00D25960"/>
    <w:rsid w:val="00D541F9"/>
    <w:rsid w:val="00D71D9C"/>
    <w:rsid w:val="00DA1E68"/>
    <w:rsid w:val="00DC1EC9"/>
    <w:rsid w:val="00DD685F"/>
    <w:rsid w:val="00DE1388"/>
    <w:rsid w:val="00DF7EE9"/>
    <w:rsid w:val="00E0316B"/>
    <w:rsid w:val="00E075FB"/>
    <w:rsid w:val="00E154E8"/>
    <w:rsid w:val="00E34347"/>
    <w:rsid w:val="00E722CC"/>
    <w:rsid w:val="00E73819"/>
    <w:rsid w:val="00E85379"/>
    <w:rsid w:val="00E96D8F"/>
    <w:rsid w:val="00EA03AF"/>
    <w:rsid w:val="00EA1FB1"/>
    <w:rsid w:val="00EA50AD"/>
    <w:rsid w:val="00EC78FE"/>
    <w:rsid w:val="00ED499A"/>
    <w:rsid w:val="00F05BEA"/>
    <w:rsid w:val="00F31449"/>
    <w:rsid w:val="00F36092"/>
    <w:rsid w:val="00F3690D"/>
    <w:rsid w:val="00F64826"/>
    <w:rsid w:val="00F71317"/>
    <w:rsid w:val="00F72B19"/>
    <w:rsid w:val="00F76D90"/>
    <w:rsid w:val="00F8454C"/>
    <w:rsid w:val="00F92147"/>
    <w:rsid w:val="00F9563B"/>
    <w:rsid w:val="00FD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513D6D"/>
  <w15:docId w15:val="{C8B87AB7-629B-4B6E-A4FF-BB310A327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7B66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951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D4549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09512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Gvdemetni2">
    <w:name w:val="Gövde metni (2)_"/>
    <w:basedOn w:val="VarsaylanParagrafYazTipi"/>
    <w:link w:val="Gvdemetni20"/>
    <w:rsid w:val="0009512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095126"/>
    <w:pPr>
      <w:widowControl w:val="0"/>
      <w:shd w:val="clear" w:color="auto" w:fill="FFFFFF"/>
      <w:spacing w:after="280" w:line="266" w:lineRule="exact"/>
      <w:ind w:hanging="400"/>
      <w:jc w:val="center"/>
    </w:pPr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095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95126"/>
  </w:style>
  <w:style w:type="paragraph" w:styleId="AltBilgi">
    <w:name w:val="footer"/>
    <w:basedOn w:val="Normal"/>
    <w:link w:val="AltBilgiChar"/>
    <w:uiPriority w:val="99"/>
    <w:unhideWhenUsed/>
    <w:rsid w:val="00095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95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gencer.yilmaz</dc:creator>
  <cp:keywords/>
  <dc:description/>
  <cp:lastModifiedBy>Nurgül YEDİDAĞ</cp:lastModifiedBy>
  <cp:revision>5</cp:revision>
  <dcterms:created xsi:type="dcterms:W3CDTF">2025-02-24T11:34:00Z</dcterms:created>
  <dcterms:modified xsi:type="dcterms:W3CDTF">2025-03-03T08:20:00Z</dcterms:modified>
</cp:coreProperties>
</file>