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8162"/>
      </w:tblGrid>
      <w:tr w:rsidR="004B7494" w:rsidRPr="00057910" w14:paraId="5791AC46" w14:textId="77777777" w:rsidTr="002065D3">
        <w:trPr>
          <w:trHeight w:val="898"/>
        </w:trPr>
        <w:tc>
          <w:tcPr>
            <w:tcW w:w="1678" w:type="dxa"/>
          </w:tcPr>
          <w:p w14:paraId="6B57E4C5" w14:textId="77777777" w:rsidR="004B7494" w:rsidRPr="00057910" w:rsidRDefault="004B7494" w:rsidP="004B7494">
            <w:pPr>
              <w:pStyle w:val="Balk2"/>
              <w:rPr>
                <w:rFonts w:ascii="Times New Roman" w:hAnsi="Times New Roman" w:cs="Times New Roman"/>
                <w:b/>
                <w:color w:val="auto"/>
                <w:sz w:val="24"/>
                <w:szCs w:val="24"/>
              </w:rPr>
            </w:pPr>
            <w:r w:rsidRPr="00057910">
              <w:rPr>
                <w:rFonts w:ascii="Times New Roman" w:hAnsi="Times New Roman" w:cs="Times New Roman"/>
                <w:b/>
                <w:color w:val="auto"/>
                <w:sz w:val="24"/>
                <w:szCs w:val="24"/>
              </w:rPr>
              <w:t xml:space="preserve">SMT Temel İşlevi: </w:t>
            </w:r>
          </w:p>
        </w:tc>
        <w:tc>
          <w:tcPr>
            <w:tcW w:w="8162" w:type="dxa"/>
            <w:shd w:val="clear" w:color="auto" w:fill="auto"/>
            <w:vAlign w:val="center"/>
          </w:tcPr>
          <w:p w14:paraId="0699DBCB" w14:textId="6317AF56" w:rsidR="004B7494" w:rsidRPr="00057910" w:rsidRDefault="00D7139A" w:rsidP="00B95B2F">
            <w:pPr>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hAnsi="Times New Roman" w:cs="Times New Roman"/>
                <w:sz w:val="24"/>
                <w:szCs w:val="24"/>
              </w:rPr>
              <w:t>Ürün polidioksanon</w:t>
            </w:r>
            <w:r w:rsidR="00B20B85" w:rsidRPr="00057910">
              <w:rPr>
                <w:rFonts w:ascii="Times New Roman" w:hAnsi="Times New Roman" w:cs="Times New Roman"/>
                <w:sz w:val="24"/>
                <w:szCs w:val="24"/>
              </w:rPr>
              <w:t xml:space="preserve"> ya da poliglikonat </w:t>
            </w:r>
            <w:r w:rsidRPr="00057910">
              <w:rPr>
                <w:rFonts w:ascii="Times New Roman" w:hAnsi="Times New Roman" w:cs="Times New Roman"/>
                <w:sz w:val="24"/>
                <w:szCs w:val="24"/>
              </w:rPr>
              <w:t>şeklinde    dizayn edilmiş ve</w:t>
            </w:r>
            <w:r w:rsidR="00B95B2F" w:rsidRPr="00057910">
              <w:rPr>
                <w:rFonts w:ascii="Times New Roman" w:hAnsi="Times New Roman" w:cs="Times New Roman"/>
                <w:sz w:val="24"/>
                <w:szCs w:val="24"/>
              </w:rPr>
              <w:t xml:space="preserve"> </w:t>
            </w:r>
            <w:proofErr w:type="spellStart"/>
            <w:r w:rsidRPr="00057910">
              <w:rPr>
                <w:rFonts w:ascii="Times New Roman" w:eastAsia="Times New Roman" w:hAnsi="Times New Roman" w:cs="Times New Roman"/>
                <w:sz w:val="24"/>
                <w:szCs w:val="24"/>
              </w:rPr>
              <w:t>monofilament</w:t>
            </w:r>
            <w:proofErr w:type="spellEnd"/>
            <w:r w:rsidRPr="00057910">
              <w:rPr>
                <w:rFonts w:ascii="Times New Roman" w:eastAsia="Times New Roman" w:hAnsi="Times New Roman" w:cs="Times New Roman"/>
                <w:sz w:val="24"/>
                <w:szCs w:val="24"/>
              </w:rPr>
              <w:t xml:space="preserve"> (örgüsüz) yapıda</w:t>
            </w:r>
            <w:r w:rsidRPr="00057910">
              <w:rPr>
                <w:rFonts w:ascii="Times New Roman" w:hAnsi="Times New Roman" w:cs="Times New Roman"/>
                <w:sz w:val="24"/>
                <w:szCs w:val="24"/>
              </w:rPr>
              <w:t xml:space="preserve"> </w:t>
            </w:r>
            <w:r w:rsidR="00B95B2F" w:rsidRPr="00057910">
              <w:rPr>
                <w:rFonts w:ascii="Times New Roman" w:hAnsi="Times New Roman" w:cs="Times New Roman"/>
                <w:sz w:val="24"/>
                <w:szCs w:val="24"/>
              </w:rPr>
              <w:t>s</w:t>
            </w:r>
            <w:r w:rsidR="00B20B85" w:rsidRPr="00057910">
              <w:rPr>
                <w:rFonts w:ascii="Times New Roman" w:eastAsia="Times New Roman" w:hAnsi="Times New Roman" w:cs="Times New Roman"/>
                <w:sz w:val="24"/>
                <w:szCs w:val="24"/>
              </w:rPr>
              <w:t xml:space="preserve">entetik </w:t>
            </w:r>
            <w:proofErr w:type="spellStart"/>
            <w:r w:rsidR="00B20B85" w:rsidRPr="00057910">
              <w:rPr>
                <w:rFonts w:ascii="Times New Roman" w:eastAsia="Times New Roman" w:hAnsi="Times New Roman" w:cs="Times New Roman"/>
                <w:sz w:val="24"/>
                <w:szCs w:val="24"/>
              </w:rPr>
              <w:t>absorbe</w:t>
            </w:r>
            <w:proofErr w:type="spellEnd"/>
            <w:r w:rsidR="00B20B85" w:rsidRPr="00057910">
              <w:rPr>
                <w:rFonts w:ascii="Times New Roman" w:eastAsia="Times New Roman" w:hAnsi="Times New Roman" w:cs="Times New Roman"/>
                <w:sz w:val="24"/>
                <w:szCs w:val="24"/>
              </w:rPr>
              <w:t xml:space="preserve"> olan cerrahi</w:t>
            </w:r>
            <w:r w:rsidR="00B95B2F" w:rsidRPr="00057910">
              <w:rPr>
                <w:rFonts w:ascii="Times New Roman" w:eastAsia="Times New Roman" w:hAnsi="Times New Roman" w:cs="Times New Roman"/>
                <w:sz w:val="24"/>
                <w:szCs w:val="24"/>
              </w:rPr>
              <w:t xml:space="preserve"> </w:t>
            </w:r>
            <w:proofErr w:type="spellStart"/>
            <w:r w:rsidRPr="00057910">
              <w:rPr>
                <w:rFonts w:ascii="Times New Roman" w:eastAsia="Times New Roman" w:hAnsi="Times New Roman" w:cs="Times New Roman"/>
                <w:sz w:val="24"/>
                <w:szCs w:val="24"/>
              </w:rPr>
              <w:t>sütur</w:t>
            </w:r>
            <w:proofErr w:type="spellEnd"/>
            <w:r w:rsidRPr="00057910">
              <w:rPr>
                <w:rFonts w:ascii="Times New Roman" w:eastAsia="Times New Roman" w:hAnsi="Times New Roman" w:cs="Times New Roman"/>
                <w:sz w:val="24"/>
                <w:szCs w:val="24"/>
              </w:rPr>
              <w:t xml:space="preserve"> olarak imal edilmiş olmalıdır.</w:t>
            </w:r>
          </w:p>
        </w:tc>
      </w:tr>
      <w:tr w:rsidR="004B7494" w:rsidRPr="00057910" w14:paraId="48B12155" w14:textId="77777777" w:rsidTr="002065D3">
        <w:trPr>
          <w:trHeight w:val="1239"/>
        </w:trPr>
        <w:tc>
          <w:tcPr>
            <w:tcW w:w="1678" w:type="dxa"/>
          </w:tcPr>
          <w:p w14:paraId="1965C3BA" w14:textId="77777777" w:rsidR="002065D3" w:rsidRPr="00057910" w:rsidRDefault="004B7494" w:rsidP="00B95B2F">
            <w:pPr>
              <w:pStyle w:val="Balk2"/>
              <w:rPr>
                <w:rFonts w:ascii="Times New Roman" w:hAnsi="Times New Roman" w:cs="Times New Roman"/>
                <w:b/>
                <w:color w:val="auto"/>
                <w:sz w:val="24"/>
                <w:szCs w:val="24"/>
              </w:rPr>
            </w:pPr>
            <w:r w:rsidRPr="00057910">
              <w:rPr>
                <w:rFonts w:ascii="Times New Roman" w:hAnsi="Times New Roman" w:cs="Times New Roman"/>
                <w:b/>
                <w:color w:val="auto"/>
                <w:sz w:val="24"/>
                <w:szCs w:val="24"/>
              </w:rPr>
              <w:t>SM</w:t>
            </w:r>
          </w:p>
          <w:p w14:paraId="0B36AB79" w14:textId="2726DFD5" w:rsidR="004B7494" w:rsidRPr="00057910" w:rsidRDefault="004B7494" w:rsidP="00B95B2F">
            <w:pPr>
              <w:pStyle w:val="Balk2"/>
              <w:rPr>
                <w:rFonts w:ascii="Times New Roman" w:hAnsi="Times New Roman" w:cs="Times New Roman"/>
                <w:b/>
                <w:color w:val="auto"/>
                <w:sz w:val="24"/>
                <w:szCs w:val="24"/>
              </w:rPr>
            </w:pPr>
            <w:r w:rsidRPr="00057910">
              <w:rPr>
                <w:rFonts w:ascii="Times New Roman" w:hAnsi="Times New Roman" w:cs="Times New Roman"/>
                <w:b/>
                <w:color w:val="auto"/>
                <w:sz w:val="24"/>
                <w:szCs w:val="24"/>
              </w:rPr>
              <w:t xml:space="preserve">Malzeme Tanımlama Bilgileri: </w:t>
            </w:r>
          </w:p>
        </w:tc>
        <w:tc>
          <w:tcPr>
            <w:tcW w:w="8162" w:type="dxa"/>
            <w:shd w:val="clear" w:color="auto" w:fill="auto"/>
            <w:vAlign w:val="center"/>
          </w:tcPr>
          <w:p w14:paraId="3380AAB9" w14:textId="77777777" w:rsidR="004B7494" w:rsidRPr="00057910" w:rsidRDefault="00443117" w:rsidP="00B95B2F">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hAnsi="Times New Roman" w:cs="Times New Roman"/>
                <w:sz w:val="24"/>
                <w:szCs w:val="24"/>
              </w:rPr>
              <w:t xml:space="preserve">Ürünün kullanım yeri ve amacına göre </w:t>
            </w:r>
            <w:r w:rsidRPr="00057910">
              <w:rPr>
                <w:rFonts w:ascii="Times New Roman" w:hAnsi="Times New Roman" w:cs="Times New Roman"/>
                <w:color w:val="000000"/>
                <w:sz w:val="24"/>
                <w:szCs w:val="24"/>
              </w:rPr>
              <w:t>İğneli ve</w:t>
            </w:r>
            <w:r w:rsidR="00A40AF7" w:rsidRPr="00057910">
              <w:rPr>
                <w:rFonts w:ascii="Times New Roman" w:hAnsi="Times New Roman" w:cs="Times New Roman"/>
                <w:color w:val="000000"/>
                <w:sz w:val="24"/>
                <w:szCs w:val="24"/>
              </w:rPr>
              <w:t>/veya</w:t>
            </w:r>
            <w:r w:rsidRPr="00057910">
              <w:rPr>
                <w:rFonts w:ascii="Times New Roman" w:hAnsi="Times New Roman" w:cs="Times New Roman"/>
                <w:color w:val="000000"/>
                <w:sz w:val="24"/>
                <w:szCs w:val="24"/>
              </w:rPr>
              <w:t xml:space="preserve"> iğnesiz (bağlama) türleri olmalı, bu türlerinde farklı ebat, boy ve çapta seçenekleri sunulmalıdır.</w:t>
            </w:r>
          </w:p>
          <w:p w14:paraId="11D8E40A" w14:textId="2DCBE717" w:rsidR="00BB2BA5" w:rsidRPr="00057910" w:rsidRDefault="00BB2BA5" w:rsidP="00B95B2F">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hAnsi="Times New Roman"/>
                <w:sz w:val="24"/>
                <w:szCs w:val="24"/>
              </w:rPr>
              <w:t>Ondalık kesirleri istenilen basamağa göre yuvarlarken önce yuvarlanacak basamağın sağındaki ilk rakama bakılır. Bu rakam 5’e eşit veya 5’ten büyük ise yuvarlanacak basamaktaki rakam 1 artırılır ve bu basamağın sağındaki diğer basamaklar atılır.</w:t>
            </w:r>
            <w:r w:rsidR="00996401" w:rsidRPr="00057910">
              <w:rPr>
                <w:rFonts w:ascii="Times New Roman" w:hAnsi="Times New Roman"/>
                <w:sz w:val="24"/>
                <w:szCs w:val="24"/>
              </w:rPr>
              <w:t xml:space="preserve"> </w:t>
            </w:r>
            <w:r w:rsidRPr="00057910">
              <w:rPr>
                <w:rFonts w:ascii="Times New Roman" w:hAnsi="Times New Roman"/>
                <w:sz w:val="24"/>
                <w:szCs w:val="24"/>
              </w:rPr>
              <w:t>5’ten küçük ise yuvarlanacak basamaktaki rakam değişmez ve bu basamağın sağındaki diğer basamaklar atılır.</w:t>
            </w:r>
          </w:p>
        </w:tc>
      </w:tr>
      <w:tr w:rsidR="004B7494" w:rsidRPr="00057910" w14:paraId="2F1E0A46" w14:textId="77777777" w:rsidTr="002065D3">
        <w:trPr>
          <w:trHeight w:val="1640"/>
        </w:trPr>
        <w:tc>
          <w:tcPr>
            <w:tcW w:w="1678" w:type="dxa"/>
          </w:tcPr>
          <w:p w14:paraId="4E58A194" w14:textId="77777777" w:rsidR="004B7494" w:rsidRPr="00057910" w:rsidRDefault="004B7494" w:rsidP="004B7494">
            <w:pPr>
              <w:pStyle w:val="Balk2"/>
              <w:rPr>
                <w:rFonts w:ascii="Times New Roman" w:hAnsi="Times New Roman" w:cs="Times New Roman"/>
                <w:b/>
                <w:color w:val="auto"/>
                <w:sz w:val="24"/>
                <w:szCs w:val="24"/>
              </w:rPr>
            </w:pPr>
            <w:r w:rsidRPr="00057910">
              <w:rPr>
                <w:rFonts w:ascii="Times New Roman" w:hAnsi="Times New Roman" w:cs="Times New Roman"/>
                <w:b/>
                <w:color w:val="auto"/>
                <w:sz w:val="24"/>
                <w:szCs w:val="24"/>
              </w:rPr>
              <w:t xml:space="preserve">Teknik Özellikleri: </w:t>
            </w:r>
          </w:p>
          <w:p w14:paraId="393B9397" w14:textId="77777777" w:rsidR="004B7494" w:rsidRPr="00057910" w:rsidRDefault="004B7494" w:rsidP="004B7494">
            <w:pPr>
              <w:pStyle w:val="Balk2"/>
              <w:rPr>
                <w:rFonts w:ascii="Times New Roman" w:hAnsi="Times New Roman" w:cs="Times New Roman"/>
                <w:b/>
                <w:color w:val="auto"/>
                <w:sz w:val="24"/>
                <w:szCs w:val="24"/>
              </w:rPr>
            </w:pPr>
          </w:p>
        </w:tc>
        <w:tc>
          <w:tcPr>
            <w:tcW w:w="8162" w:type="dxa"/>
            <w:shd w:val="clear" w:color="auto" w:fill="auto"/>
          </w:tcPr>
          <w:p w14:paraId="30BD5D63" w14:textId="77777777" w:rsidR="00B20B85" w:rsidRPr="00057910"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eastAsia="Times New Roman" w:hAnsi="Times New Roman" w:cs="Times New Roman"/>
                <w:sz w:val="24"/>
                <w:szCs w:val="24"/>
              </w:rPr>
              <w:t>Sentetik absorbe olan monofilament cerrahi ameliyat ipliği uzun dönem doku desteği sağlamalıdır.</w:t>
            </w:r>
          </w:p>
          <w:p w14:paraId="735BCFE0" w14:textId="029A2A65" w:rsidR="00B20B85" w:rsidRPr="00057910"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eastAsia="Times New Roman" w:hAnsi="Times New Roman" w:cs="Times New Roman"/>
                <w:sz w:val="24"/>
                <w:szCs w:val="24"/>
              </w:rPr>
              <w:t xml:space="preserve"> Vücut içi kullanımlarda enflamasyon, negatif doku reaksiyonu ve sütur materyaline bağlı komplikasyon riski minimum olmalıdır.</w:t>
            </w:r>
          </w:p>
          <w:p w14:paraId="2442B226" w14:textId="23ED5AE5" w:rsidR="00B20B85" w:rsidRPr="00057910"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eastAsia="Times New Roman" w:hAnsi="Times New Roman" w:cs="Times New Roman"/>
                <w:sz w:val="24"/>
                <w:szCs w:val="24"/>
              </w:rPr>
              <w:t>Sentetik monofilament absorbe olabilen cerrahi ipliklerin vücutta tamamen emilim (absorbsiyon) süreleri 180-2</w:t>
            </w:r>
            <w:r w:rsidR="0060765B" w:rsidRPr="00057910">
              <w:rPr>
                <w:rFonts w:ascii="Times New Roman" w:eastAsia="Times New Roman" w:hAnsi="Times New Roman" w:cs="Times New Roman"/>
                <w:sz w:val="24"/>
                <w:szCs w:val="24"/>
              </w:rPr>
              <w:t>4</w:t>
            </w:r>
            <w:r w:rsidRPr="00057910">
              <w:rPr>
                <w:rFonts w:ascii="Times New Roman" w:eastAsia="Times New Roman" w:hAnsi="Times New Roman" w:cs="Times New Roman"/>
                <w:sz w:val="24"/>
                <w:szCs w:val="24"/>
              </w:rPr>
              <w:t xml:space="preserve">0 gün arasında olmalı ve süturün tensil kuvveti başlangıç olarak %100 olarak alındığında doku desteği ikinci haftada yaklaşık </w:t>
            </w:r>
            <w:r w:rsidR="0060765B" w:rsidRPr="00057910">
              <w:rPr>
                <w:rFonts w:ascii="Times New Roman" w:eastAsia="Times New Roman" w:hAnsi="Times New Roman" w:cs="Times New Roman"/>
                <w:sz w:val="24"/>
                <w:szCs w:val="24"/>
              </w:rPr>
              <w:t>olarak (%60-80)</w:t>
            </w:r>
            <w:r w:rsidRPr="00057910">
              <w:rPr>
                <w:rFonts w:ascii="Times New Roman" w:eastAsia="Times New Roman" w:hAnsi="Times New Roman" w:cs="Times New Roman"/>
                <w:sz w:val="24"/>
                <w:szCs w:val="24"/>
              </w:rPr>
              <w:t xml:space="preserve"> 4.</w:t>
            </w:r>
            <w:r w:rsidR="002065D3" w:rsidRPr="00057910">
              <w:rPr>
                <w:rFonts w:ascii="Times New Roman" w:eastAsia="Times New Roman" w:hAnsi="Times New Roman" w:cs="Times New Roman"/>
                <w:sz w:val="24"/>
                <w:szCs w:val="24"/>
              </w:rPr>
              <w:t xml:space="preserve"> </w:t>
            </w:r>
            <w:r w:rsidRPr="00057910">
              <w:rPr>
                <w:rFonts w:ascii="Times New Roman" w:eastAsia="Times New Roman" w:hAnsi="Times New Roman" w:cs="Times New Roman"/>
                <w:sz w:val="24"/>
                <w:szCs w:val="24"/>
              </w:rPr>
              <w:t xml:space="preserve">haftada yaklaşık olarak </w:t>
            </w:r>
            <w:r w:rsidR="0060765B" w:rsidRPr="00057910">
              <w:rPr>
                <w:rFonts w:ascii="Times New Roman" w:eastAsia="Times New Roman" w:hAnsi="Times New Roman" w:cs="Times New Roman"/>
                <w:sz w:val="24"/>
                <w:szCs w:val="24"/>
              </w:rPr>
              <w:t>(</w:t>
            </w:r>
            <w:r w:rsidRPr="00057910">
              <w:rPr>
                <w:rFonts w:ascii="Times New Roman" w:eastAsia="Times New Roman" w:hAnsi="Times New Roman" w:cs="Times New Roman"/>
                <w:sz w:val="24"/>
                <w:szCs w:val="24"/>
              </w:rPr>
              <w:t>%</w:t>
            </w:r>
            <w:r w:rsidR="0060765B" w:rsidRPr="00057910">
              <w:rPr>
                <w:rFonts w:ascii="Times New Roman" w:eastAsia="Times New Roman" w:hAnsi="Times New Roman" w:cs="Times New Roman"/>
                <w:sz w:val="24"/>
                <w:szCs w:val="24"/>
              </w:rPr>
              <w:t>40-70) arası</w:t>
            </w:r>
            <w:r w:rsidR="00A55F40" w:rsidRPr="00057910">
              <w:rPr>
                <w:rFonts w:ascii="Times New Roman" w:eastAsia="Times New Roman" w:hAnsi="Times New Roman" w:cs="Times New Roman"/>
                <w:sz w:val="24"/>
                <w:szCs w:val="24"/>
              </w:rPr>
              <w:t xml:space="preserve">, 6. haftada yaklaşık olarak (%35-60) arası tensil kuvveti sağlamalı, </w:t>
            </w:r>
            <w:r w:rsidR="0060765B" w:rsidRPr="00057910">
              <w:rPr>
                <w:rFonts w:ascii="Times New Roman" w:eastAsia="Times New Roman" w:hAnsi="Times New Roman" w:cs="Times New Roman"/>
                <w:sz w:val="24"/>
                <w:szCs w:val="24"/>
              </w:rPr>
              <w:t>yaklaşık</w:t>
            </w:r>
            <w:r w:rsidRPr="00057910">
              <w:rPr>
                <w:rFonts w:ascii="Times New Roman" w:eastAsia="Times New Roman" w:hAnsi="Times New Roman" w:cs="Times New Roman"/>
                <w:sz w:val="24"/>
                <w:szCs w:val="24"/>
              </w:rPr>
              <w:t xml:space="preserve"> doku desteği 60 gün</w:t>
            </w:r>
            <w:r w:rsidR="0060765B" w:rsidRPr="00057910">
              <w:rPr>
                <w:rFonts w:ascii="Times New Roman" w:eastAsia="Times New Roman" w:hAnsi="Times New Roman" w:cs="Times New Roman"/>
                <w:sz w:val="24"/>
                <w:szCs w:val="24"/>
              </w:rPr>
              <w:t xml:space="preserve"> olmalı ve </w:t>
            </w:r>
            <w:r w:rsidR="00B95B2F" w:rsidRPr="00057910">
              <w:rPr>
                <w:rFonts w:ascii="Times New Roman" w:eastAsia="Times New Roman" w:hAnsi="Times New Roman" w:cs="Times New Roman"/>
                <w:sz w:val="24"/>
                <w:szCs w:val="24"/>
              </w:rPr>
              <w:t>m</w:t>
            </w:r>
            <w:r w:rsidR="0060765B" w:rsidRPr="00057910">
              <w:rPr>
                <w:rFonts w:ascii="Times New Roman" w:eastAsia="Times New Roman" w:hAnsi="Times New Roman" w:cs="Times New Roman"/>
                <w:sz w:val="24"/>
                <w:szCs w:val="24"/>
              </w:rPr>
              <w:t>inimum</w:t>
            </w:r>
            <w:r w:rsidRPr="00057910">
              <w:rPr>
                <w:rFonts w:ascii="Times New Roman" w:hAnsi="Times New Roman" w:cs="Times New Roman"/>
                <w:sz w:val="24"/>
                <w:szCs w:val="24"/>
              </w:rPr>
              <w:t xml:space="preserve"> 6 </w:t>
            </w:r>
            <w:r w:rsidR="00B95B2F" w:rsidRPr="00057910">
              <w:rPr>
                <w:rFonts w:ascii="Times New Roman" w:hAnsi="Times New Roman" w:cs="Times New Roman"/>
                <w:sz w:val="24"/>
                <w:szCs w:val="24"/>
              </w:rPr>
              <w:t>h</w:t>
            </w:r>
            <w:r w:rsidRPr="00057910">
              <w:rPr>
                <w:rFonts w:ascii="Times New Roman" w:hAnsi="Times New Roman" w:cs="Times New Roman"/>
                <w:sz w:val="24"/>
                <w:szCs w:val="24"/>
              </w:rPr>
              <w:t>afta doku desteği sağlamalı</w:t>
            </w:r>
            <w:r w:rsidR="0060765B" w:rsidRPr="00057910">
              <w:rPr>
                <w:rFonts w:ascii="Times New Roman" w:hAnsi="Times New Roman" w:cs="Times New Roman"/>
                <w:sz w:val="24"/>
                <w:szCs w:val="24"/>
              </w:rPr>
              <w:t>dır.</w:t>
            </w:r>
          </w:p>
          <w:p w14:paraId="2DB91354" w14:textId="6C895C8B" w:rsidR="00B20B85" w:rsidRPr="00057910"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eastAsia="Times New Roman" w:hAnsi="Times New Roman" w:cs="Times New Roman"/>
                <w:sz w:val="24"/>
                <w:szCs w:val="24"/>
              </w:rPr>
              <w:t>Ameliyat esnasında düğümün kaydırılmasında tiftiklenmeyi ve kilitlenmeyi önleyecek şekilde imal edilmeli, İplik dokudan geçerken sıyrılmamalı, tiftiklenmemeli, dokuyu yırtmamalıdır.</w:t>
            </w:r>
          </w:p>
          <w:p w14:paraId="3AB46BDE" w14:textId="77777777" w:rsidR="00195FEB" w:rsidRPr="00057910" w:rsidRDefault="00B20B85" w:rsidP="0060765B">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057910">
              <w:rPr>
                <w:rFonts w:ascii="Times New Roman" w:eastAsia="Times New Roman" w:hAnsi="Times New Roman" w:cs="Times New Roman"/>
                <w:sz w:val="24"/>
                <w:szCs w:val="24"/>
              </w:rPr>
              <w:t>Sentetik absorbe olan monofilament cerrahi ameliyat ipliği sütur atıldıktan sonra gerilmeye ve çekilmeye maksimum direnç göstermelidir.</w:t>
            </w:r>
          </w:p>
          <w:p w14:paraId="1B15D1CB" w14:textId="12DB31A8" w:rsidR="00B20B85" w:rsidRPr="00057910" w:rsidRDefault="00B20B85" w:rsidP="00A55F40">
            <w:pPr>
              <w:spacing w:before="120" w:after="120" w:line="360" w:lineRule="auto"/>
              <w:jc w:val="both"/>
              <w:rPr>
                <w:rFonts w:ascii="Times New Roman" w:hAnsi="Times New Roman" w:cs="Times New Roman"/>
                <w:sz w:val="24"/>
                <w:szCs w:val="24"/>
              </w:rPr>
            </w:pPr>
          </w:p>
        </w:tc>
      </w:tr>
      <w:tr w:rsidR="004B7494" w:rsidRPr="00057910" w14:paraId="17A5157A" w14:textId="77777777" w:rsidTr="002065D3">
        <w:trPr>
          <w:trHeight w:val="5628"/>
        </w:trPr>
        <w:tc>
          <w:tcPr>
            <w:tcW w:w="1678" w:type="dxa"/>
          </w:tcPr>
          <w:p w14:paraId="0BD27979" w14:textId="77777777" w:rsidR="004B7494" w:rsidRPr="00057910" w:rsidRDefault="004B7494" w:rsidP="002065D3">
            <w:pPr>
              <w:pStyle w:val="Balk2"/>
              <w:rPr>
                <w:rFonts w:ascii="Times New Roman" w:hAnsi="Times New Roman" w:cs="Times New Roman"/>
                <w:b/>
                <w:color w:val="auto"/>
                <w:sz w:val="24"/>
                <w:szCs w:val="24"/>
              </w:rPr>
            </w:pPr>
          </w:p>
        </w:tc>
        <w:tc>
          <w:tcPr>
            <w:tcW w:w="8162" w:type="dxa"/>
            <w:shd w:val="clear" w:color="auto" w:fill="auto"/>
          </w:tcPr>
          <w:p w14:paraId="478E8438" w14:textId="41732299" w:rsidR="00A55F40" w:rsidRPr="00057910" w:rsidRDefault="00A55F40"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eastAsia="Times New Roman" w:hAnsi="Times New Roman" w:cs="Times New Roman"/>
                <w:sz w:val="24"/>
                <w:szCs w:val="24"/>
              </w:rPr>
              <w:t xml:space="preserve">Sentetik </w:t>
            </w:r>
            <w:proofErr w:type="spellStart"/>
            <w:r w:rsidRPr="00057910">
              <w:rPr>
                <w:rFonts w:ascii="Times New Roman" w:eastAsia="Times New Roman" w:hAnsi="Times New Roman" w:cs="Times New Roman"/>
                <w:sz w:val="24"/>
                <w:szCs w:val="24"/>
              </w:rPr>
              <w:t>absorbe</w:t>
            </w:r>
            <w:proofErr w:type="spellEnd"/>
            <w:r w:rsidRPr="00057910">
              <w:rPr>
                <w:rFonts w:ascii="Times New Roman" w:eastAsia="Times New Roman" w:hAnsi="Times New Roman" w:cs="Times New Roman"/>
                <w:sz w:val="24"/>
                <w:szCs w:val="24"/>
              </w:rPr>
              <w:t xml:space="preserve"> olan </w:t>
            </w:r>
            <w:proofErr w:type="spellStart"/>
            <w:r w:rsidRPr="00057910">
              <w:rPr>
                <w:rFonts w:ascii="Times New Roman" w:eastAsia="Times New Roman" w:hAnsi="Times New Roman" w:cs="Times New Roman"/>
                <w:sz w:val="24"/>
                <w:szCs w:val="24"/>
              </w:rPr>
              <w:t>monofilament</w:t>
            </w:r>
            <w:proofErr w:type="spellEnd"/>
            <w:r w:rsidRPr="00057910">
              <w:rPr>
                <w:rFonts w:ascii="Times New Roman" w:eastAsia="Times New Roman" w:hAnsi="Times New Roman" w:cs="Times New Roman"/>
                <w:sz w:val="24"/>
                <w:szCs w:val="24"/>
              </w:rPr>
              <w:t xml:space="preserve"> cerrahi ameliyat ipliğinin çap değerleri (kalınlığı), mukavemeti (tensil kuvveti), iğne iplik bağlantı değerleri ve düğüm atma performansı EP (Avrupa </w:t>
            </w:r>
            <w:proofErr w:type="spellStart"/>
            <w:r w:rsidRPr="00057910">
              <w:rPr>
                <w:rFonts w:ascii="Times New Roman" w:eastAsia="Times New Roman" w:hAnsi="Times New Roman" w:cs="Times New Roman"/>
                <w:sz w:val="24"/>
                <w:szCs w:val="24"/>
              </w:rPr>
              <w:t>Farmakopesi</w:t>
            </w:r>
            <w:proofErr w:type="spellEnd"/>
            <w:r w:rsidRPr="00057910">
              <w:rPr>
                <w:rFonts w:ascii="Times New Roman" w:eastAsia="Times New Roman" w:hAnsi="Times New Roman" w:cs="Times New Roman"/>
                <w:sz w:val="24"/>
                <w:szCs w:val="24"/>
              </w:rPr>
              <w:t xml:space="preserve">) veya </w:t>
            </w:r>
            <w:proofErr w:type="spellStart"/>
            <w:r w:rsidRPr="00057910">
              <w:rPr>
                <w:rFonts w:ascii="Times New Roman" w:eastAsia="Times New Roman" w:hAnsi="Times New Roman" w:cs="Times New Roman"/>
                <w:sz w:val="24"/>
                <w:szCs w:val="24"/>
              </w:rPr>
              <w:t>USP'ye</w:t>
            </w:r>
            <w:proofErr w:type="spellEnd"/>
            <w:r w:rsidRPr="00057910">
              <w:rPr>
                <w:rFonts w:ascii="Times New Roman" w:eastAsia="Times New Roman" w:hAnsi="Times New Roman" w:cs="Times New Roman"/>
                <w:sz w:val="24"/>
                <w:szCs w:val="24"/>
              </w:rPr>
              <w:t xml:space="preserve"> (Amerika </w:t>
            </w:r>
            <w:proofErr w:type="spellStart"/>
            <w:r w:rsidRPr="00057910">
              <w:rPr>
                <w:rFonts w:ascii="Times New Roman" w:eastAsia="Times New Roman" w:hAnsi="Times New Roman" w:cs="Times New Roman"/>
                <w:sz w:val="24"/>
                <w:szCs w:val="24"/>
              </w:rPr>
              <w:t>Farmakopisi</w:t>
            </w:r>
            <w:proofErr w:type="spellEnd"/>
            <w:r w:rsidRPr="00057910">
              <w:rPr>
                <w:rFonts w:ascii="Times New Roman" w:eastAsia="Times New Roman" w:hAnsi="Times New Roman" w:cs="Times New Roman"/>
                <w:sz w:val="24"/>
                <w:szCs w:val="24"/>
              </w:rPr>
              <w:t>) uygun olmalıdır.</w:t>
            </w:r>
          </w:p>
          <w:p w14:paraId="11E8AC58" w14:textId="7E0CAE7A" w:rsidR="00B20B85" w:rsidRPr="00057910"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proofErr w:type="spellStart"/>
            <w:r w:rsidRPr="00057910">
              <w:rPr>
                <w:rFonts w:ascii="Times New Roman" w:hAnsi="Times New Roman" w:cs="Times New Roman"/>
                <w:sz w:val="24"/>
                <w:szCs w:val="24"/>
              </w:rPr>
              <w:t>Atravmatik</w:t>
            </w:r>
            <w:proofErr w:type="spellEnd"/>
            <w:r w:rsidRPr="00057910">
              <w:rPr>
                <w:rFonts w:ascii="Times New Roman" w:hAnsi="Times New Roman" w:cs="Times New Roman"/>
                <w:sz w:val="24"/>
                <w:szCs w:val="24"/>
              </w:rPr>
              <w:t xml:space="preserve"> iğneliler paslanmaz çelik alışımdan olmalı, iğneler dokudan çok rahat geçmeli, eğilip bükülmemesi, kırılmaması için güçlü olmalı ve </w:t>
            </w:r>
            <w:r w:rsidR="00B95B2F" w:rsidRPr="00057910">
              <w:rPr>
                <w:rFonts w:ascii="Times New Roman" w:hAnsi="Times New Roman" w:cs="Times New Roman"/>
                <w:sz w:val="24"/>
                <w:szCs w:val="24"/>
              </w:rPr>
              <w:t>y</w:t>
            </w:r>
            <w:r w:rsidRPr="00057910">
              <w:rPr>
                <w:rFonts w:ascii="Times New Roman" w:hAnsi="Times New Roman" w:cs="Times New Roman"/>
                <w:sz w:val="24"/>
                <w:szCs w:val="24"/>
              </w:rPr>
              <w:t>üksek alışım çelikten imal edilmiş olmalıdır.</w:t>
            </w:r>
          </w:p>
          <w:p w14:paraId="0A7508B3" w14:textId="46A07FED" w:rsidR="00444544" w:rsidRPr="00057910" w:rsidRDefault="00444544"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sz w:val="24"/>
                <w:szCs w:val="24"/>
              </w:rPr>
              <w:t>Yüksek alışım çelikten imal edilmiş olmalıdır. Kırılma ve bükülmeyi engellemek amacıyla iğnedeki nikel oranı (alaşımındaki) %7 den fazla olmalı ve krom oranı %10 dan fazla olmalıdır</w:t>
            </w:r>
            <w:r w:rsidRPr="00057910">
              <w:rPr>
                <w:rFonts w:ascii="Times New Roman" w:hAnsi="Times New Roman" w:cs="Times New Roman"/>
                <w:color w:val="000000"/>
                <w:sz w:val="24"/>
                <w:szCs w:val="24"/>
              </w:rPr>
              <w:t xml:space="preserve"> İğne bağlantı yerinden çıkmamalı ve kolayca kopmamalı.</w:t>
            </w:r>
            <w:r w:rsidR="002065D3" w:rsidRPr="00057910">
              <w:rPr>
                <w:rFonts w:ascii="Times New Roman" w:hAnsi="Times New Roman" w:cs="Times New Roman"/>
                <w:color w:val="000000"/>
                <w:sz w:val="24"/>
                <w:szCs w:val="24"/>
              </w:rPr>
              <w:t xml:space="preserve"> </w:t>
            </w:r>
            <w:r w:rsidRPr="00057910">
              <w:rPr>
                <w:rFonts w:ascii="Times New Roman" w:hAnsi="Times New Roman" w:cs="Times New Roman"/>
                <w:color w:val="000000"/>
                <w:sz w:val="24"/>
                <w:szCs w:val="24"/>
              </w:rPr>
              <w:t>İğneler dokudan geçerken travma oluşturmamalıdır</w:t>
            </w:r>
            <w:r w:rsidR="002065D3" w:rsidRPr="00057910">
              <w:rPr>
                <w:rFonts w:ascii="Times New Roman" w:hAnsi="Times New Roman" w:cs="Times New Roman"/>
                <w:color w:val="000000"/>
                <w:sz w:val="24"/>
                <w:szCs w:val="24"/>
              </w:rPr>
              <w:t>.</w:t>
            </w:r>
          </w:p>
          <w:p w14:paraId="3912BFC4" w14:textId="140E7A43" w:rsidR="00B20B85" w:rsidRPr="00057910"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proofErr w:type="spellStart"/>
            <w:r w:rsidRPr="00057910">
              <w:rPr>
                <w:rFonts w:ascii="Times New Roman" w:hAnsi="Times New Roman" w:cs="Times New Roman"/>
                <w:sz w:val="24"/>
                <w:szCs w:val="24"/>
              </w:rPr>
              <w:t>Sütur</w:t>
            </w:r>
            <w:proofErr w:type="spellEnd"/>
            <w:r w:rsidRPr="00057910">
              <w:rPr>
                <w:rFonts w:ascii="Times New Roman" w:hAnsi="Times New Roman" w:cs="Times New Roman"/>
                <w:sz w:val="24"/>
                <w:szCs w:val="24"/>
              </w:rPr>
              <w:t xml:space="preserve"> pürüzsüz olmalıdır, tiftiklenmemelidir, kolay düğüm kaydırılmalı, </w:t>
            </w:r>
            <w:r w:rsidR="00B95B2F" w:rsidRPr="00057910">
              <w:rPr>
                <w:rFonts w:ascii="Times New Roman" w:hAnsi="Times New Roman" w:cs="Times New Roman"/>
                <w:sz w:val="24"/>
                <w:szCs w:val="24"/>
              </w:rPr>
              <w:t>d</w:t>
            </w:r>
            <w:r w:rsidRPr="00057910">
              <w:rPr>
                <w:rFonts w:ascii="Times New Roman" w:hAnsi="Times New Roman" w:cs="Times New Roman"/>
                <w:sz w:val="24"/>
                <w:szCs w:val="24"/>
              </w:rPr>
              <w:t xml:space="preserve">üğüm güvenliği sağlamalı, </w:t>
            </w:r>
            <w:r w:rsidR="00B95B2F" w:rsidRPr="00057910">
              <w:rPr>
                <w:rFonts w:ascii="Times New Roman" w:hAnsi="Times New Roman" w:cs="Times New Roman"/>
                <w:sz w:val="24"/>
                <w:szCs w:val="24"/>
              </w:rPr>
              <w:t>ü</w:t>
            </w:r>
            <w:r w:rsidRPr="00057910">
              <w:rPr>
                <w:rFonts w:ascii="Times New Roman" w:hAnsi="Times New Roman" w:cs="Times New Roman"/>
                <w:sz w:val="24"/>
                <w:szCs w:val="24"/>
              </w:rPr>
              <w:t>zerine bakteri yerleşecek boşluklar olmamalıdır.</w:t>
            </w:r>
          </w:p>
          <w:p w14:paraId="16DB8C49" w14:textId="7754910B" w:rsidR="00B20B85" w:rsidRPr="00057910"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 xml:space="preserve">İğneler dikiş süresince dokudan rahat geçme </w:t>
            </w:r>
            <w:r w:rsidR="00B95B2F" w:rsidRPr="00057910">
              <w:rPr>
                <w:rFonts w:ascii="Times New Roman" w:hAnsi="Times New Roman" w:cs="Times New Roman"/>
                <w:sz w:val="24"/>
                <w:szCs w:val="24"/>
              </w:rPr>
              <w:t>ö</w:t>
            </w:r>
            <w:r w:rsidRPr="00057910">
              <w:rPr>
                <w:rFonts w:ascii="Times New Roman" w:hAnsi="Times New Roman" w:cs="Times New Roman"/>
                <w:sz w:val="24"/>
                <w:szCs w:val="24"/>
              </w:rPr>
              <w:t>zelliğini yitirmemelidir.</w:t>
            </w:r>
          </w:p>
          <w:p w14:paraId="71F76876" w14:textId="011B10E5" w:rsidR="00B20B85" w:rsidRPr="00057910"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Dokulardan kolaylıkla ve minimum travmayla deforme olmadan geçmelidir.</w:t>
            </w:r>
          </w:p>
          <w:p w14:paraId="1B153529" w14:textId="7DEBD860" w:rsidR="002065D3" w:rsidRPr="00057910" w:rsidRDefault="00B20B85" w:rsidP="002065D3">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 xml:space="preserve">Cerrahi </w:t>
            </w:r>
            <w:proofErr w:type="spellStart"/>
            <w:r w:rsidRPr="00057910">
              <w:rPr>
                <w:rFonts w:ascii="Times New Roman" w:hAnsi="Times New Roman" w:cs="Times New Roman"/>
                <w:sz w:val="24"/>
                <w:szCs w:val="24"/>
              </w:rPr>
              <w:t>sütur</w:t>
            </w:r>
            <w:r w:rsidR="002065D3" w:rsidRPr="00057910">
              <w:rPr>
                <w:rFonts w:ascii="Times New Roman" w:hAnsi="Times New Roman" w:cs="Times New Roman"/>
                <w:sz w:val="24"/>
                <w:szCs w:val="24"/>
              </w:rPr>
              <w:t>u</w:t>
            </w:r>
            <w:r w:rsidRPr="00057910">
              <w:rPr>
                <w:rFonts w:ascii="Times New Roman" w:hAnsi="Times New Roman" w:cs="Times New Roman"/>
                <w:sz w:val="24"/>
                <w:szCs w:val="24"/>
              </w:rPr>
              <w:t>n</w:t>
            </w:r>
            <w:proofErr w:type="spellEnd"/>
            <w:r w:rsidRPr="00057910">
              <w:rPr>
                <w:rFonts w:ascii="Times New Roman" w:hAnsi="Times New Roman" w:cs="Times New Roman"/>
                <w:sz w:val="24"/>
                <w:szCs w:val="24"/>
              </w:rPr>
              <w:t xml:space="preserve"> </w:t>
            </w:r>
            <w:r w:rsidR="00B95B2F" w:rsidRPr="00057910">
              <w:rPr>
                <w:rFonts w:ascii="Times New Roman" w:hAnsi="Times New Roman" w:cs="Times New Roman"/>
                <w:sz w:val="24"/>
                <w:szCs w:val="24"/>
              </w:rPr>
              <w:t>i</w:t>
            </w:r>
            <w:r w:rsidRPr="00057910">
              <w:rPr>
                <w:rFonts w:ascii="Times New Roman" w:hAnsi="Times New Roman" w:cs="Times New Roman"/>
                <w:sz w:val="24"/>
                <w:szCs w:val="24"/>
              </w:rPr>
              <w:t>ğnesinin gövdesi dokulardan geçerken portegüde stabil kalacak, başka dokulara zarar vermeyi önleyecek yapıda dizayn edilmiş olmalıdır.</w:t>
            </w:r>
          </w:p>
        </w:tc>
      </w:tr>
      <w:tr w:rsidR="00F660F1" w:rsidRPr="00057910" w14:paraId="07F1E838" w14:textId="77777777" w:rsidTr="002065D3">
        <w:trPr>
          <w:trHeight w:val="2124"/>
        </w:trPr>
        <w:tc>
          <w:tcPr>
            <w:tcW w:w="1678" w:type="dxa"/>
            <w:vMerge w:val="restart"/>
          </w:tcPr>
          <w:p w14:paraId="15BFAA0D" w14:textId="790A5B26" w:rsidR="00F660F1" w:rsidRPr="00057910" w:rsidRDefault="00F660F1" w:rsidP="002065D3">
            <w:pPr>
              <w:pStyle w:val="Balk2"/>
              <w:rPr>
                <w:rFonts w:ascii="Times New Roman" w:hAnsi="Times New Roman" w:cs="Times New Roman"/>
                <w:b/>
                <w:color w:val="auto"/>
                <w:sz w:val="24"/>
                <w:szCs w:val="24"/>
              </w:rPr>
            </w:pPr>
            <w:r w:rsidRPr="00057910">
              <w:rPr>
                <w:rFonts w:ascii="Times New Roman" w:hAnsi="Times New Roman" w:cs="Times New Roman"/>
                <w:b/>
                <w:color w:val="auto"/>
                <w:sz w:val="24"/>
                <w:szCs w:val="24"/>
              </w:rPr>
              <w:lastRenderedPageBreak/>
              <w:t>Genel Hükümler:</w:t>
            </w:r>
          </w:p>
        </w:tc>
        <w:tc>
          <w:tcPr>
            <w:tcW w:w="8162" w:type="dxa"/>
            <w:shd w:val="clear" w:color="auto" w:fill="auto"/>
          </w:tcPr>
          <w:p w14:paraId="674A88EA" w14:textId="77777777" w:rsidR="00F660F1" w:rsidRPr="00057910" w:rsidRDefault="00F660F1" w:rsidP="002065D3">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 xml:space="preserve">Kutularda en az 12 paket ile ambalajlanmış olmalı, içerisinde birim ambalajdan kaç adet olduğu belirtilmelidir. </w:t>
            </w:r>
          </w:p>
          <w:p w14:paraId="4A9FB133" w14:textId="77777777" w:rsidR="00F660F1" w:rsidRPr="00057910" w:rsidRDefault="00F660F1" w:rsidP="006233E4">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 xml:space="preserve">Birim ambalajı veya kutu üzerinde imalatçı firmanın ticari adı veya kısa adı, üretim yeri, </w:t>
            </w:r>
            <w:proofErr w:type="spellStart"/>
            <w:r w:rsidRPr="00057910">
              <w:rPr>
                <w:rFonts w:ascii="Times New Roman" w:hAnsi="Times New Roman" w:cs="Times New Roman"/>
                <w:sz w:val="24"/>
                <w:szCs w:val="24"/>
              </w:rPr>
              <w:t>filament</w:t>
            </w:r>
            <w:proofErr w:type="spellEnd"/>
            <w:r w:rsidRPr="00057910">
              <w:rPr>
                <w:rFonts w:ascii="Times New Roman" w:hAnsi="Times New Roman" w:cs="Times New Roman"/>
                <w:sz w:val="24"/>
                <w:szCs w:val="24"/>
              </w:rPr>
              <w:t xml:space="preserve"> cinsi, son kullanma tarihi, sterilizasyon şekli, lot numarası, </w:t>
            </w:r>
            <w:proofErr w:type="spellStart"/>
            <w:r w:rsidRPr="00057910">
              <w:rPr>
                <w:rFonts w:ascii="Times New Roman" w:hAnsi="Times New Roman" w:cs="Times New Roman"/>
                <w:sz w:val="24"/>
                <w:szCs w:val="24"/>
              </w:rPr>
              <w:t>sütur</w:t>
            </w:r>
            <w:proofErr w:type="spellEnd"/>
            <w:r w:rsidRPr="00057910">
              <w:rPr>
                <w:rFonts w:ascii="Times New Roman" w:hAnsi="Times New Roman" w:cs="Times New Roman"/>
                <w:sz w:val="24"/>
                <w:szCs w:val="24"/>
              </w:rPr>
              <w:t xml:space="preserve"> kalınlığı, </w:t>
            </w:r>
            <w:proofErr w:type="spellStart"/>
            <w:r w:rsidRPr="00057910">
              <w:rPr>
                <w:rFonts w:ascii="Times New Roman" w:hAnsi="Times New Roman" w:cs="Times New Roman"/>
                <w:sz w:val="24"/>
                <w:szCs w:val="24"/>
              </w:rPr>
              <w:t>süturun</w:t>
            </w:r>
            <w:proofErr w:type="spellEnd"/>
            <w:r w:rsidRPr="00057910">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w:t>
            </w:r>
          </w:p>
          <w:p w14:paraId="64BBCAF2" w14:textId="77777777" w:rsidR="00F660F1" w:rsidRPr="00057910" w:rsidRDefault="00F660F1" w:rsidP="006233E4">
            <w:pPr>
              <w:pStyle w:val="ListeParagraf"/>
              <w:numPr>
                <w:ilvl w:val="0"/>
                <w:numId w:val="17"/>
              </w:numPr>
              <w:spacing w:before="120" w:after="120" w:line="360" w:lineRule="auto"/>
              <w:ind w:left="351"/>
              <w:jc w:val="both"/>
              <w:rPr>
                <w:rFonts w:ascii="Times New Roman" w:hAnsi="Times New Roman" w:cs="Times New Roman"/>
                <w:sz w:val="24"/>
                <w:szCs w:val="24"/>
              </w:rPr>
            </w:pPr>
            <w:proofErr w:type="spellStart"/>
            <w:r w:rsidRPr="00057910">
              <w:rPr>
                <w:rFonts w:ascii="Times New Roman" w:hAnsi="Times New Roman" w:cs="Times New Roman"/>
                <w:sz w:val="24"/>
                <w:szCs w:val="24"/>
              </w:rPr>
              <w:t>Sütur</w:t>
            </w:r>
            <w:proofErr w:type="spellEnd"/>
            <w:r w:rsidRPr="00057910">
              <w:rPr>
                <w:rFonts w:ascii="Times New Roman" w:hAnsi="Times New Roman" w:cs="Times New Roman"/>
                <w:sz w:val="24"/>
                <w:szCs w:val="24"/>
              </w:rPr>
              <w:t xml:space="preserve"> ambalajının kullanım esnasına kadar sterilizasyonu su, nemden, ısıdan, ışıktan korunması için her bir dış ambalajı; bir yüzü şeffaf diğer yüzü </w:t>
            </w:r>
            <w:proofErr w:type="spellStart"/>
            <w:r w:rsidRPr="00057910">
              <w:rPr>
                <w:rFonts w:ascii="Times New Roman" w:hAnsi="Times New Roman" w:cs="Times New Roman"/>
                <w:sz w:val="24"/>
                <w:szCs w:val="24"/>
              </w:rPr>
              <w:t>tyvek</w:t>
            </w:r>
            <w:proofErr w:type="spellEnd"/>
            <w:r w:rsidRPr="00057910">
              <w:rPr>
                <w:rFonts w:ascii="Times New Roman" w:hAnsi="Times New Roman" w:cs="Times New Roman"/>
                <w:sz w:val="24"/>
                <w:szCs w:val="24"/>
              </w:rPr>
              <w:t xml:space="preserve"> kâğıt veya bir yüzü şeffaf diğer yüzü su ve nem geçirmeyen medikal Kraft kâğıt olmalı; iç ambalajı </w:t>
            </w:r>
            <w:proofErr w:type="spellStart"/>
            <w:r w:rsidRPr="00057910">
              <w:rPr>
                <w:rFonts w:ascii="Times New Roman" w:hAnsi="Times New Roman" w:cs="Times New Roman"/>
                <w:sz w:val="24"/>
                <w:szCs w:val="24"/>
              </w:rPr>
              <w:t>blister</w:t>
            </w:r>
            <w:proofErr w:type="spellEnd"/>
            <w:r w:rsidRPr="00057910">
              <w:rPr>
                <w:rFonts w:ascii="Times New Roman" w:hAnsi="Times New Roman" w:cs="Times New Roman"/>
                <w:sz w:val="24"/>
                <w:szCs w:val="24"/>
              </w:rPr>
              <w:t xml:space="preserve"> veya karton veya plastik olmalıdır. İç ve dış ambalaj üzerinde ürün ile ilgili tüm bilgiler bulunmalıdır.</w:t>
            </w:r>
          </w:p>
          <w:p w14:paraId="74EB74EF" w14:textId="1365817B" w:rsidR="00F660F1" w:rsidRPr="00057910" w:rsidRDefault="00F660F1" w:rsidP="006233E4">
            <w:pPr>
              <w:pStyle w:val="ListeParagraf"/>
              <w:numPr>
                <w:ilvl w:val="0"/>
                <w:numId w:val="17"/>
              </w:numPr>
              <w:spacing w:before="120" w:after="120" w:line="360" w:lineRule="auto"/>
              <w:ind w:left="351"/>
              <w:jc w:val="both"/>
              <w:rPr>
                <w:rFonts w:ascii="Times New Roman" w:hAnsi="Times New Roman" w:cs="Times New Roman"/>
                <w:sz w:val="24"/>
                <w:szCs w:val="24"/>
              </w:rPr>
            </w:pPr>
            <w:r w:rsidRPr="00057910">
              <w:rPr>
                <w:rFonts w:ascii="Times New Roman" w:hAnsi="Times New Roman" w:cs="Times New Roman"/>
                <w:sz w:val="24"/>
                <w:szCs w:val="24"/>
              </w:rPr>
              <w:t>Ürün ambalajı, kullanılan materyalin cinsine göre (</w:t>
            </w:r>
            <w:proofErr w:type="spellStart"/>
            <w:r w:rsidRPr="00057910">
              <w:rPr>
                <w:rFonts w:ascii="Times New Roman" w:hAnsi="Times New Roman" w:cs="Times New Roman"/>
                <w:sz w:val="24"/>
                <w:szCs w:val="24"/>
              </w:rPr>
              <w:t>tyvek</w:t>
            </w:r>
            <w:proofErr w:type="spellEnd"/>
            <w:r w:rsidRPr="00057910">
              <w:rPr>
                <w:rFonts w:ascii="Times New Roman" w:hAnsi="Times New Roman" w:cs="Times New Roman"/>
                <w:sz w:val="24"/>
                <w:szCs w:val="24"/>
              </w:rPr>
              <w:t xml:space="preserve">, </w:t>
            </w:r>
            <w:proofErr w:type="spellStart"/>
            <w:r w:rsidRPr="00057910">
              <w:rPr>
                <w:rFonts w:ascii="Times New Roman" w:hAnsi="Times New Roman" w:cs="Times New Roman"/>
                <w:sz w:val="24"/>
                <w:szCs w:val="24"/>
              </w:rPr>
              <w:t>kraft</w:t>
            </w:r>
            <w:proofErr w:type="spellEnd"/>
            <w:r w:rsidRPr="00057910">
              <w:rPr>
                <w:rFonts w:ascii="Times New Roman" w:hAnsi="Times New Roman" w:cs="Times New Roman"/>
                <w:sz w:val="24"/>
                <w:szCs w:val="24"/>
              </w:rPr>
              <w:t xml:space="preserve"> vb.)  TS EN 868 kalite standardının ilgili bölümlerini karşılamalıdır (istenildiği takdirde belgelendirilmelidir).</w:t>
            </w:r>
          </w:p>
        </w:tc>
      </w:tr>
      <w:tr w:rsidR="00F660F1" w14:paraId="4846C3FC" w14:textId="77777777" w:rsidTr="002065D3">
        <w:trPr>
          <w:trHeight w:val="1640"/>
        </w:trPr>
        <w:tc>
          <w:tcPr>
            <w:tcW w:w="1678" w:type="dxa"/>
            <w:vMerge/>
          </w:tcPr>
          <w:p w14:paraId="362F0E0A" w14:textId="77777777" w:rsidR="00F660F1" w:rsidRPr="00057910" w:rsidRDefault="00F660F1" w:rsidP="002065D3">
            <w:pPr>
              <w:pStyle w:val="Balk2"/>
              <w:rPr>
                <w:rFonts w:ascii="Times New Roman" w:hAnsi="Times New Roman" w:cs="Times New Roman"/>
                <w:b/>
                <w:color w:val="auto"/>
                <w:sz w:val="24"/>
                <w:szCs w:val="24"/>
              </w:rPr>
            </w:pPr>
          </w:p>
        </w:tc>
        <w:tc>
          <w:tcPr>
            <w:tcW w:w="8162" w:type="dxa"/>
            <w:shd w:val="clear" w:color="auto" w:fill="auto"/>
          </w:tcPr>
          <w:p w14:paraId="2C7D17D1" w14:textId="31A3F062" w:rsidR="00F660F1" w:rsidRPr="00057910" w:rsidRDefault="00F660F1" w:rsidP="006233E4">
            <w:pPr>
              <w:pStyle w:val="ListeParagraf"/>
              <w:numPr>
                <w:ilvl w:val="0"/>
                <w:numId w:val="17"/>
              </w:numPr>
              <w:spacing w:before="120" w:after="120" w:line="360" w:lineRule="auto"/>
              <w:jc w:val="both"/>
              <w:rPr>
                <w:rFonts w:ascii="Times New Roman" w:hAnsi="Times New Roman" w:cs="Times New Roman"/>
                <w:sz w:val="24"/>
                <w:szCs w:val="24"/>
              </w:rPr>
            </w:pPr>
            <w:r w:rsidRPr="00057910">
              <w:rPr>
                <w:rFonts w:ascii="Times New Roman" w:hAnsi="Times New Roman"/>
                <w:sz w:val="24"/>
                <w:szCs w:val="24"/>
              </w:rPr>
              <w:t>Problem durumunda ürünün takip edilebilmesi için steril olarak masaya açılan iç paketlerin üzerinde ürün lot numarası bilgisi bulunmalıdır. Ayrıca malzeme ile ilgili tüm bilgiler, okunaklı ve bozulmayacak şekilde olmalı ve iç ambalaj üzerindeki bilgiler aynı olmalıdır.</w:t>
            </w:r>
          </w:p>
          <w:p w14:paraId="6248FD5C" w14:textId="77777777" w:rsidR="00F660F1" w:rsidRDefault="00F660F1" w:rsidP="006233E4">
            <w:pPr>
              <w:pStyle w:val="ListeParagraf"/>
              <w:numPr>
                <w:ilvl w:val="0"/>
                <w:numId w:val="17"/>
              </w:numPr>
              <w:spacing w:before="120" w:after="120" w:line="360" w:lineRule="auto"/>
              <w:jc w:val="both"/>
              <w:rPr>
                <w:rFonts w:ascii="Times New Roman" w:hAnsi="Times New Roman" w:cs="Times New Roman"/>
                <w:sz w:val="24"/>
                <w:szCs w:val="24"/>
              </w:rPr>
            </w:pPr>
            <w:r w:rsidRPr="00057910">
              <w:rPr>
                <w:rFonts w:ascii="Times New Roman" w:hAnsi="Times New Roman" w:cs="Times New Roman"/>
                <w:sz w:val="24"/>
                <w:szCs w:val="24"/>
              </w:rPr>
              <w:t>Sterilizasyonu etilen oksit veya gama ile yapılmış olmalıdır.</w:t>
            </w:r>
          </w:p>
          <w:p w14:paraId="463A5E77" w14:textId="252C8D76" w:rsidR="00F660F1" w:rsidRPr="00057910" w:rsidRDefault="00F660F1" w:rsidP="006233E4">
            <w:pPr>
              <w:pStyle w:val="ListeParagraf"/>
              <w:numPr>
                <w:ilvl w:val="0"/>
                <w:numId w:val="17"/>
              </w:numPr>
              <w:spacing w:before="120" w:after="120" w:line="360" w:lineRule="auto"/>
              <w:jc w:val="both"/>
              <w:rPr>
                <w:rFonts w:ascii="Times New Roman" w:hAnsi="Times New Roman" w:cs="Times New Roman"/>
                <w:sz w:val="24"/>
                <w:szCs w:val="24"/>
              </w:rPr>
            </w:pPr>
            <w:r>
              <w:rPr>
                <w:rFonts w:ascii="Times New Roman" w:hAnsi="Times New Roman"/>
                <w:sz w:val="24"/>
                <w:szCs w:val="24"/>
              </w:rPr>
              <w:t>Ürün CE standartlarına uygun olmalıdır.</w:t>
            </w:r>
          </w:p>
        </w:tc>
      </w:tr>
    </w:tbl>
    <w:p w14:paraId="3335A9E9" w14:textId="0C3CBBB2" w:rsidR="002065D3" w:rsidRDefault="002065D3" w:rsidP="00331203">
      <w:pPr>
        <w:pStyle w:val="ListeParagraf"/>
        <w:jc w:val="both"/>
        <w:rPr>
          <w:rFonts w:ascii="Times New Roman" w:hAnsi="Times New Roman" w:cs="Times New Roman"/>
          <w:sz w:val="24"/>
          <w:szCs w:val="24"/>
        </w:rPr>
      </w:pPr>
    </w:p>
    <w:p w14:paraId="0E074B0F" w14:textId="77777777" w:rsidR="002065D3" w:rsidRPr="002065D3" w:rsidRDefault="002065D3" w:rsidP="002065D3"/>
    <w:p w14:paraId="10F96313" w14:textId="48D73D3D" w:rsidR="002065D3" w:rsidRDefault="002065D3" w:rsidP="002065D3"/>
    <w:p w14:paraId="04552F3F" w14:textId="53022E72" w:rsidR="00331203" w:rsidRPr="002065D3" w:rsidRDefault="002065D3" w:rsidP="002065D3">
      <w:pPr>
        <w:tabs>
          <w:tab w:val="left" w:pos="6192"/>
        </w:tabs>
      </w:pPr>
      <w:r>
        <w:tab/>
      </w:r>
    </w:p>
    <w:sectPr w:rsidR="00331203" w:rsidRPr="002065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FDD7" w14:textId="77777777" w:rsidR="00960E93" w:rsidRDefault="00960E93" w:rsidP="00CC1546">
      <w:pPr>
        <w:spacing w:after="0" w:line="240" w:lineRule="auto"/>
      </w:pPr>
      <w:r>
        <w:separator/>
      </w:r>
    </w:p>
  </w:endnote>
  <w:endnote w:type="continuationSeparator" w:id="0">
    <w:p w14:paraId="01B458A7" w14:textId="77777777" w:rsidR="00960E93" w:rsidRDefault="00960E93"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3406" w14:textId="77777777" w:rsidR="00960E93" w:rsidRDefault="00960E93" w:rsidP="00CC1546">
      <w:pPr>
        <w:spacing w:after="0" w:line="240" w:lineRule="auto"/>
      </w:pPr>
      <w:r>
        <w:separator/>
      </w:r>
    </w:p>
  </w:footnote>
  <w:footnote w:type="continuationSeparator" w:id="0">
    <w:p w14:paraId="19AFA2F6" w14:textId="77777777" w:rsidR="00960E93" w:rsidRDefault="00960E93"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4472" w14:textId="247168BD" w:rsidR="00D7139A" w:rsidRPr="00C8382C" w:rsidRDefault="00D7139A" w:rsidP="006233E4">
    <w:pPr>
      <w:pStyle w:val="AralkYok"/>
      <w:spacing w:before="120" w:after="120" w:line="360" w:lineRule="auto"/>
      <w:ind w:right="-709"/>
      <w:jc w:val="both"/>
      <w:rPr>
        <w:rFonts w:ascii="Times New Roman" w:eastAsia="Times New Roman" w:hAnsi="Times New Roman" w:cs="Times New Roman"/>
        <w:b/>
        <w:sz w:val="24"/>
        <w:szCs w:val="24"/>
      </w:rPr>
    </w:pPr>
    <w:r w:rsidRPr="00C8382C">
      <w:rPr>
        <w:rFonts w:ascii="Times New Roman" w:eastAsia="Times New Roman" w:hAnsi="Times New Roman" w:cs="Times New Roman"/>
        <w:b/>
        <w:sz w:val="24"/>
        <w:szCs w:val="24"/>
      </w:rPr>
      <w:t>SMT2817</w:t>
    </w:r>
    <w:r w:rsidR="00996401">
      <w:rPr>
        <w:rFonts w:ascii="Times New Roman" w:eastAsia="Times New Roman" w:hAnsi="Times New Roman" w:cs="Times New Roman"/>
        <w:b/>
        <w:sz w:val="24"/>
        <w:szCs w:val="24"/>
      </w:rPr>
      <w:t xml:space="preserve"> </w:t>
    </w:r>
    <w:r w:rsidRPr="00C8382C">
      <w:rPr>
        <w:rFonts w:ascii="Times New Roman" w:eastAsia="Times New Roman" w:hAnsi="Times New Roman" w:cs="Times New Roman"/>
        <w:b/>
        <w:sz w:val="24"/>
        <w:szCs w:val="24"/>
      </w:rPr>
      <w:t>CERRAHİ S</w:t>
    </w:r>
    <w:r w:rsidR="00C8382C">
      <w:rPr>
        <w:rFonts w:ascii="Times New Roman" w:eastAsia="Times New Roman" w:hAnsi="Times New Roman" w:cs="Times New Roman"/>
        <w:b/>
        <w:sz w:val="24"/>
        <w:szCs w:val="24"/>
      </w:rPr>
      <w:t>Ü</w:t>
    </w:r>
    <w:r w:rsidRPr="00C8382C">
      <w:rPr>
        <w:rFonts w:ascii="Times New Roman" w:eastAsia="Times New Roman" w:hAnsi="Times New Roman" w:cs="Times New Roman"/>
        <w:b/>
        <w:sz w:val="24"/>
        <w:szCs w:val="24"/>
      </w:rPr>
      <w:t>T</w:t>
    </w:r>
    <w:r w:rsidR="00C8382C">
      <w:rPr>
        <w:rFonts w:ascii="Times New Roman" w:eastAsia="Times New Roman" w:hAnsi="Times New Roman" w:cs="Times New Roman"/>
        <w:b/>
        <w:sz w:val="24"/>
        <w:szCs w:val="24"/>
      </w:rPr>
      <w:t>U</w:t>
    </w:r>
    <w:r w:rsidRPr="00C8382C">
      <w:rPr>
        <w:rFonts w:ascii="Times New Roman" w:eastAsia="Times New Roman" w:hAnsi="Times New Roman" w:cs="Times New Roman"/>
        <w:b/>
        <w:sz w:val="24"/>
        <w:szCs w:val="24"/>
      </w:rPr>
      <w:t>R, POLİDİOKSANON, SENTETİK, MONOFLAMENT</w:t>
    </w:r>
    <w:r w:rsidR="008C4EA7">
      <w:rPr>
        <w:rFonts w:ascii="Times New Roman" w:eastAsia="Times New Roman" w:hAnsi="Times New Roman" w:cs="Times New Roman"/>
        <w:b/>
        <w:sz w:val="24"/>
        <w:szCs w:val="24"/>
      </w:rPr>
      <w:t xml:space="preserve">, </w:t>
    </w:r>
    <w:r w:rsidR="008C4EA7" w:rsidRPr="008C4EA7">
      <w:rPr>
        <w:rFonts w:ascii="Times New Roman" w:eastAsia="Times New Roman" w:hAnsi="Times New Roman" w:cs="Times New Roman"/>
        <w:b/>
        <w:sz w:val="24"/>
        <w:szCs w:val="24"/>
      </w:rPr>
      <w:t>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4AE52D2"/>
    <w:multiLevelType w:val="hybridMultilevel"/>
    <w:tmpl w:val="3AD67E4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276CDF"/>
    <w:multiLevelType w:val="hybridMultilevel"/>
    <w:tmpl w:val="7048FC5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990BF8"/>
    <w:multiLevelType w:val="hybridMultilevel"/>
    <w:tmpl w:val="DDF6B534"/>
    <w:lvl w:ilvl="0" w:tplc="199CFB5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0"/>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12"/>
  </w:num>
  <w:num w:numId="14">
    <w:abstractNumId w:val="11"/>
  </w:num>
  <w:num w:numId="15">
    <w:abstractNumId w:val="3"/>
  </w:num>
  <w:num w:numId="16">
    <w:abstractNumId w:val="15"/>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57910"/>
    <w:rsid w:val="00066B3E"/>
    <w:rsid w:val="00067BA0"/>
    <w:rsid w:val="000D04A5"/>
    <w:rsid w:val="000F5ABE"/>
    <w:rsid w:val="00104579"/>
    <w:rsid w:val="0015343D"/>
    <w:rsid w:val="00195FEB"/>
    <w:rsid w:val="001A0D55"/>
    <w:rsid w:val="00205531"/>
    <w:rsid w:val="002065D3"/>
    <w:rsid w:val="002618E3"/>
    <w:rsid w:val="00271ACF"/>
    <w:rsid w:val="002B66F4"/>
    <w:rsid w:val="002C0FC3"/>
    <w:rsid w:val="002D4EEC"/>
    <w:rsid w:val="0031011E"/>
    <w:rsid w:val="003172F7"/>
    <w:rsid w:val="00331203"/>
    <w:rsid w:val="00336300"/>
    <w:rsid w:val="00443117"/>
    <w:rsid w:val="00444544"/>
    <w:rsid w:val="004B7494"/>
    <w:rsid w:val="00500422"/>
    <w:rsid w:val="00566670"/>
    <w:rsid w:val="005F175C"/>
    <w:rsid w:val="0060765B"/>
    <w:rsid w:val="006233E4"/>
    <w:rsid w:val="00842FB2"/>
    <w:rsid w:val="0088733D"/>
    <w:rsid w:val="008C4EA7"/>
    <w:rsid w:val="00936492"/>
    <w:rsid w:val="00960E93"/>
    <w:rsid w:val="00996401"/>
    <w:rsid w:val="009B0479"/>
    <w:rsid w:val="009C482D"/>
    <w:rsid w:val="00A0594E"/>
    <w:rsid w:val="00A40AF7"/>
    <w:rsid w:val="00A55F40"/>
    <w:rsid w:val="00A76582"/>
    <w:rsid w:val="00AC10D4"/>
    <w:rsid w:val="00AC554C"/>
    <w:rsid w:val="00AF3426"/>
    <w:rsid w:val="00B20B85"/>
    <w:rsid w:val="00B95B2F"/>
    <w:rsid w:val="00BA3150"/>
    <w:rsid w:val="00BB2BA5"/>
    <w:rsid w:val="00BD1CE0"/>
    <w:rsid w:val="00BD4023"/>
    <w:rsid w:val="00BD6076"/>
    <w:rsid w:val="00BF4EE4"/>
    <w:rsid w:val="00BF5AAE"/>
    <w:rsid w:val="00C62C7F"/>
    <w:rsid w:val="00C8052B"/>
    <w:rsid w:val="00C8382C"/>
    <w:rsid w:val="00CB6986"/>
    <w:rsid w:val="00CC1546"/>
    <w:rsid w:val="00D7139A"/>
    <w:rsid w:val="00DF23BE"/>
    <w:rsid w:val="00ED3775"/>
    <w:rsid w:val="00F660F1"/>
    <w:rsid w:val="00F87C1A"/>
    <w:rsid w:val="00F97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0771-BBDC-4CE8-9982-96EBEFC1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10</cp:revision>
  <dcterms:created xsi:type="dcterms:W3CDTF">2026-02-27T09:22:00Z</dcterms:created>
  <dcterms:modified xsi:type="dcterms:W3CDTF">2026-03-31T16:00:00Z</dcterms:modified>
</cp:coreProperties>
</file>