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355"/>
        <w:gridCol w:w="8281"/>
      </w:tblGrid>
      <w:tr w:rsidR="00816E95" w14:paraId="5791AC46" w14:textId="77777777" w:rsidTr="00BC77FC">
        <w:trPr>
          <w:trHeight w:val="1351"/>
        </w:trPr>
        <w:tc>
          <w:tcPr>
            <w:tcW w:w="1702" w:type="dxa"/>
          </w:tcPr>
          <w:p w14:paraId="6B57E4C5" w14:textId="77777777" w:rsidR="00816E95" w:rsidRPr="004B7494" w:rsidRDefault="00816E95" w:rsidP="00816E95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355" w:type="dxa"/>
          </w:tcPr>
          <w:p w14:paraId="5AAD5873" w14:textId="590548D6" w:rsidR="00816E95" w:rsidRPr="0026392B" w:rsidRDefault="00816E95" w:rsidP="002639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2B">
              <w:rPr>
                <w:rFonts w:ascii="Times New Roman" w:hAnsi="Times New Roman" w:cs="Times New Roman"/>
                <w:sz w:val="24"/>
                <w:szCs w:val="24"/>
              </w:rPr>
              <w:t xml:space="preserve">Genel Cerrahi, Kadın doğum, Üroloji, Göğüs Cerrahisi, Çocuk Cerrahisi gibi laparoskopik ameliyat yapılan tüm </w:t>
            </w:r>
            <w:r w:rsidR="0026392B" w:rsidRPr="0026392B">
              <w:rPr>
                <w:rFonts w:ascii="Times New Roman" w:hAnsi="Times New Roman" w:cs="Times New Roman"/>
                <w:sz w:val="24"/>
                <w:szCs w:val="24"/>
              </w:rPr>
              <w:t>branşlarda kullanılmak</w:t>
            </w:r>
            <w:r w:rsidRPr="0026392B">
              <w:rPr>
                <w:rFonts w:ascii="Times New Roman" w:hAnsi="Times New Roman" w:cs="Times New Roman"/>
                <w:sz w:val="24"/>
                <w:szCs w:val="24"/>
              </w:rPr>
              <w:t xml:space="preserve"> amacı ile yumuşak dokuda sürekli dikiş atılabilmesi ve endoskopik otomatik sütür atıcısı 10 mm ile birlikte kullanılması için tasarlanmış olmalıdır.</w:t>
            </w:r>
          </w:p>
        </w:tc>
        <w:tc>
          <w:tcPr>
            <w:tcW w:w="8281" w:type="dxa"/>
            <w:shd w:val="clear" w:color="auto" w:fill="auto"/>
          </w:tcPr>
          <w:p w14:paraId="0699DBCB" w14:textId="729BB64B" w:rsidR="00816E95" w:rsidRPr="003F4E5C" w:rsidRDefault="00816E95" w:rsidP="00816E95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E95" w14:paraId="48B12155" w14:textId="77777777" w:rsidTr="00BC77FC">
        <w:trPr>
          <w:trHeight w:val="1640"/>
        </w:trPr>
        <w:tc>
          <w:tcPr>
            <w:tcW w:w="1702" w:type="dxa"/>
          </w:tcPr>
          <w:p w14:paraId="0A8AD5BF" w14:textId="77777777" w:rsidR="00816E95" w:rsidRPr="004B7494" w:rsidRDefault="00816E95" w:rsidP="00816E95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816E95" w:rsidRPr="004B7494" w:rsidRDefault="00816E95" w:rsidP="00816E95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55" w:type="dxa"/>
          </w:tcPr>
          <w:p w14:paraId="43449569" w14:textId="49FCE75F" w:rsidR="00816E95" w:rsidRPr="0026392B" w:rsidRDefault="00816E95" w:rsidP="002639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92B">
              <w:rPr>
                <w:rFonts w:ascii="Times New Roman" w:hAnsi="Times New Roman" w:cs="Times New Roman"/>
                <w:sz w:val="24"/>
                <w:szCs w:val="24"/>
              </w:rPr>
              <w:t xml:space="preserve">Kullanım yeri ve amacına göre Polibütester </w:t>
            </w:r>
            <w:r w:rsidR="0026392B" w:rsidRPr="002639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392B">
              <w:rPr>
                <w:rFonts w:ascii="Times New Roman" w:hAnsi="Times New Roman" w:cs="Times New Roman"/>
                <w:sz w:val="24"/>
                <w:szCs w:val="24"/>
              </w:rPr>
              <w:t>Emilemeyen</w:t>
            </w:r>
            <w:r w:rsidR="0026392B" w:rsidRPr="00263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6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92B" w:rsidRPr="0026392B">
              <w:rPr>
                <w:rFonts w:ascii="Times New Roman" w:hAnsi="Times New Roman" w:cs="Times New Roman"/>
                <w:sz w:val="24"/>
                <w:szCs w:val="24"/>
              </w:rPr>
              <w:t>ve Poliglikonat</w:t>
            </w:r>
            <w:r w:rsidRPr="0026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92B" w:rsidRPr="002639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392B">
              <w:rPr>
                <w:rFonts w:ascii="Times New Roman" w:hAnsi="Times New Roman" w:cs="Times New Roman"/>
                <w:sz w:val="24"/>
                <w:szCs w:val="24"/>
              </w:rPr>
              <w:t>Emilebilen</w:t>
            </w:r>
            <w:r w:rsidR="0026392B" w:rsidRPr="00263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6392B">
              <w:rPr>
                <w:rFonts w:ascii="Times New Roman" w:hAnsi="Times New Roman" w:cs="Times New Roman"/>
                <w:sz w:val="24"/>
                <w:szCs w:val="24"/>
              </w:rPr>
              <w:t xml:space="preserve"> şeklinde türleri olmalı bu türlerinde kendi içinde ölçü aralıklı çeşitleri sunulmalıdır.</w:t>
            </w:r>
          </w:p>
        </w:tc>
        <w:tc>
          <w:tcPr>
            <w:tcW w:w="8281" w:type="dxa"/>
            <w:shd w:val="clear" w:color="auto" w:fill="auto"/>
          </w:tcPr>
          <w:p w14:paraId="11D8E40A" w14:textId="472721B2" w:rsidR="00816E95" w:rsidRPr="003F4E5C" w:rsidRDefault="00816E95" w:rsidP="00816E95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E95" w14:paraId="2F1E0A46" w14:textId="77777777" w:rsidTr="00BC77FC">
        <w:trPr>
          <w:trHeight w:val="1640"/>
        </w:trPr>
        <w:tc>
          <w:tcPr>
            <w:tcW w:w="1702" w:type="dxa"/>
          </w:tcPr>
          <w:p w14:paraId="4E58A194" w14:textId="77777777" w:rsidR="00816E95" w:rsidRPr="004B7494" w:rsidRDefault="00816E95" w:rsidP="00816E95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816E95" w:rsidRPr="004B7494" w:rsidRDefault="00816E95" w:rsidP="00816E95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55" w:type="dxa"/>
          </w:tcPr>
          <w:p w14:paraId="608921E1" w14:textId="77777777" w:rsidR="00816E95" w:rsidRPr="0026392B" w:rsidRDefault="00816E95" w:rsidP="002639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>Endoskopik ameliyatlarda otomatik sütür atıcı ile kullanıma uygun olmalıdır.</w:t>
            </w:r>
          </w:p>
          <w:p w14:paraId="07E5AB0E" w14:textId="77777777" w:rsidR="00816E95" w:rsidRPr="0026392B" w:rsidRDefault="00816E95" w:rsidP="002639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>Düğüm gerektirmeden sütür atıcı ile sütürleme işlemini gerçekleştirmelidir.</w:t>
            </w:r>
          </w:p>
          <w:p w14:paraId="10DFE44C" w14:textId="0AE9BAAD" w:rsidR="00816E95" w:rsidRPr="0026392B" w:rsidRDefault="00816E95" w:rsidP="002639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Sütür üzerindeki metal halkadan 2 cm </w:t>
            </w:r>
            <w:r w:rsidR="0026392B"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>uzaklıktan sütürleme</w:t>
            </w: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işlemi bittikten sonra sütür kesilmelidir.  </w:t>
            </w:r>
          </w:p>
          <w:p w14:paraId="2AC76F65" w14:textId="7F966F8A" w:rsidR="00816E95" w:rsidRPr="0026392B" w:rsidRDefault="00816E95" w:rsidP="002639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Yükleme ünitesi </w:t>
            </w:r>
            <w:r w:rsidR="00BC77FC"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>iğne, öncü</w:t>
            </w: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sütür, düğüm gerektirmeyen barba sahip sütür ve loop</w:t>
            </w:r>
            <w:r w:rsidR="00BC77F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>an oluşmalıdır.</w:t>
            </w:r>
          </w:p>
          <w:p w14:paraId="49B69816" w14:textId="77777777" w:rsidR="0026392B" w:rsidRPr="0026392B" w:rsidRDefault="00816E95" w:rsidP="002639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2B">
              <w:rPr>
                <w:rFonts w:ascii="Times New Roman" w:hAnsi="Times New Roman" w:cs="Times New Roman"/>
                <w:sz w:val="24"/>
                <w:szCs w:val="24"/>
              </w:rPr>
              <w:t>Düğüm gerektirmeyen polibütester sütürün t</w:t>
            </w: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ensil </w:t>
            </w:r>
            <w:r w:rsidR="0026392B"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>kuvveti kalıcı</w:t>
            </w: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0093A53" w14:textId="428FF64B" w:rsidR="00816E95" w:rsidRPr="0026392B" w:rsidRDefault="00816E95" w:rsidP="002639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>Ürün non-absorbable olmalıdır.</w:t>
            </w:r>
          </w:p>
          <w:p w14:paraId="137C579A" w14:textId="6E200EE6" w:rsidR="00816E95" w:rsidRPr="0026392B" w:rsidRDefault="00816E95" w:rsidP="002639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2B">
              <w:rPr>
                <w:rFonts w:ascii="Times New Roman" w:hAnsi="Times New Roman" w:cs="Times New Roman"/>
                <w:sz w:val="24"/>
                <w:szCs w:val="24"/>
              </w:rPr>
              <w:t xml:space="preserve">Düğüm gerektirmeyen poliglikonat sütürün tensil </w:t>
            </w:r>
            <w:r w:rsidR="0026392B"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>kuvveti 7.</w:t>
            </w: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Günde %80, 14. Günde %75, 21. Günde %65 olmalı, absorbsiyon profili 180 günde tamamlanmalıdır.</w:t>
            </w:r>
          </w:p>
          <w:p w14:paraId="24395FE0" w14:textId="19346D01" w:rsidR="00816E95" w:rsidRPr="0026392B" w:rsidRDefault="00816E95" w:rsidP="002639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Sütürü </w:t>
            </w:r>
            <w:r w:rsidR="0026392B"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>etrafını saran</w:t>
            </w: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barbları eşit miktarda dokuya tutunmasını sağlamalı, böylece tensil kuvvetini eşit miktarda dağıtmalıdır.</w:t>
            </w:r>
          </w:p>
          <w:p w14:paraId="481FDF4E" w14:textId="2A45C18B" w:rsidR="00816E95" w:rsidRPr="0026392B" w:rsidRDefault="00816E95" w:rsidP="002639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Yükleme ünitesi iğne </w:t>
            </w:r>
            <w:r w:rsidR="0026392B"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>ve düğüm</w:t>
            </w: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gerektirmeyen sütürün sütür atıcıya kolaylıkla yüklenebilmesi için sütür atıcının çenesiyle uyumlu özel plastik yapıda olmalıdır.</w:t>
            </w:r>
          </w:p>
          <w:p w14:paraId="51B1E607" w14:textId="77777777" w:rsidR="00816E95" w:rsidRPr="00816E95" w:rsidRDefault="00816E95" w:rsidP="0026392B">
            <w:pPr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1" w:type="dxa"/>
            <w:shd w:val="clear" w:color="auto" w:fill="auto"/>
          </w:tcPr>
          <w:p w14:paraId="1B15D1CB" w14:textId="3924BEA1" w:rsidR="00816E95" w:rsidRPr="003F4E5C" w:rsidRDefault="00816E95" w:rsidP="00816E95">
            <w:pPr>
              <w:spacing w:before="120" w:after="120" w:line="360" w:lineRule="auto"/>
              <w:ind w:left="357" w:right="-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E95" w14:paraId="17A5157A" w14:textId="77777777" w:rsidTr="00BC77FC">
        <w:trPr>
          <w:trHeight w:val="1640"/>
        </w:trPr>
        <w:tc>
          <w:tcPr>
            <w:tcW w:w="1702" w:type="dxa"/>
          </w:tcPr>
          <w:p w14:paraId="2E7CFBBE" w14:textId="77777777" w:rsidR="00816E95" w:rsidRPr="004B7494" w:rsidRDefault="00816E95" w:rsidP="00816E95">
            <w:pPr>
              <w:pStyle w:val="Balk2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816E95" w:rsidRPr="004B7494" w:rsidRDefault="00816E95" w:rsidP="00816E95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355" w:type="dxa"/>
          </w:tcPr>
          <w:p w14:paraId="793FC463" w14:textId="2E93E5FC" w:rsidR="00416DD9" w:rsidRPr="0026392B" w:rsidRDefault="0026392B" w:rsidP="002639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92B">
              <w:rPr>
                <w:rFonts w:ascii="Times New Roman" w:hAnsi="Times New Roman" w:cs="Times New Roman"/>
                <w:sz w:val="24"/>
                <w:szCs w:val="24"/>
              </w:rPr>
              <w:t xml:space="preserve">Ürün steril orijinal ambalajında tek kullanımlık </w:t>
            </w:r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>olmalıdır</w:t>
            </w:r>
            <w:r w:rsidR="00416DD9"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88FB2A" w14:textId="1E35EE7B" w:rsidR="0026392B" w:rsidRPr="0026392B" w:rsidRDefault="0026392B" w:rsidP="0026392B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6392B">
              <w:rPr>
                <w:rFonts w:ascii="Times New Roman" w:eastAsia="Times New Roman" w:hAnsi="Times New Roman" w:cs="Times New Roman"/>
                <w:sz w:val="24"/>
                <w:szCs w:val="24"/>
              </w:rPr>
              <w:t>Ürün UTS kayıtlı olmalıdır.</w:t>
            </w:r>
          </w:p>
          <w:p w14:paraId="537A7FE3" w14:textId="77777777" w:rsidR="0026392B" w:rsidRPr="00816E95" w:rsidRDefault="0026392B" w:rsidP="0026392B">
            <w:pPr>
              <w:spacing w:before="120" w:after="12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3C505" w14:textId="77777777" w:rsidR="0026392B" w:rsidRPr="00816E95" w:rsidRDefault="0026392B" w:rsidP="0026392B">
            <w:pPr>
              <w:spacing w:before="120" w:after="12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5A335" w14:textId="54ED582F" w:rsidR="00416DD9" w:rsidRPr="00816E95" w:rsidRDefault="00416DD9" w:rsidP="0026392B">
            <w:pPr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1" w:type="dxa"/>
            <w:shd w:val="clear" w:color="auto" w:fill="auto"/>
          </w:tcPr>
          <w:p w14:paraId="1B153529" w14:textId="30D27595" w:rsidR="00816E95" w:rsidRPr="003F4E5C" w:rsidRDefault="00816E95" w:rsidP="00816E95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780BC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26944" w14:textId="77777777" w:rsidR="00A446F7" w:rsidRDefault="00A446F7" w:rsidP="003F4E5C">
      <w:pPr>
        <w:spacing w:after="0" w:line="240" w:lineRule="auto"/>
      </w:pPr>
      <w:r>
        <w:separator/>
      </w:r>
    </w:p>
  </w:endnote>
  <w:endnote w:type="continuationSeparator" w:id="0">
    <w:p w14:paraId="1D02AFB0" w14:textId="77777777" w:rsidR="00A446F7" w:rsidRDefault="00A446F7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D25A3" w14:textId="77777777" w:rsidR="00BC77FC" w:rsidRDefault="00BC77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74549" w14:textId="77777777" w:rsidR="00BC77FC" w:rsidRDefault="00BC77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18DAD" w14:textId="77777777" w:rsidR="00BC77FC" w:rsidRDefault="00BC77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8D401" w14:textId="77777777" w:rsidR="00A446F7" w:rsidRDefault="00A446F7" w:rsidP="003F4E5C">
      <w:pPr>
        <w:spacing w:after="0" w:line="240" w:lineRule="auto"/>
      </w:pPr>
      <w:r>
        <w:separator/>
      </w:r>
    </w:p>
  </w:footnote>
  <w:footnote w:type="continuationSeparator" w:id="0">
    <w:p w14:paraId="493F53DE" w14:textId="77777777" w:rsidR="00A446F7" w:rsidRDefault="00A446F7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41470" w14:textId="77777777" w:rsidR="00BC77FC" w:rsidRDefault="00BC77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13546" w14:textId="181806D2" w:rsidR="00AF2B3C" w:rsidRPr="00BC77FC" w:rsidRDefault="00BC77FC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BC77FC">
      <w:rPr>
        <w:rFonts w:ascii="Times New Roman" w:hAnsi="Times New Roman" w:cs="Times New Roman"/>
        <w:b/>
        <w:bCs/>
        <w:color w:val="343434"/>
        <w:sz w:val="24"/>
        <w:szCs w:val="24"/>
        <w:u w:val="single"/>
        <w:shd w:val="clear" w:color="auto" w:fill="FFFFFF"/>
      </w:rPr>
      <w:t>SMT4094 ENDOSKOPİK SÜTUR ATICI KARTUŞU, DÜĞÜM GEREKTİRMEYEN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B1DE2" w14:textId="77777777" w:rsidR="00BC77FC" w:rsidRDefault="00BC77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6294"/>
    <w:multiLevelType w:val="hybridMultilevel"/>
    <w:tmpl w:val="D264CB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6C17D0B"/>
    <w:multiLevelType w:val="hybridMultilevel"/>
    <w:tmpl w:val="BCAE0E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327D"/>
    <w:multiLevelType w:val="hybridMultilevel"/>
    <w:tmpl w:val="200010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B4F7A"/>
    <w:multiLevelType w:val="hybridMultilevel"/>
    <w:tmpl w:val="84949AE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17F86"/>
    <w:rsid w:val="000D04A5"/>
    <w:rsid w:val="00104579"/>
    <w:rsid w:val="00195FEB"/>
    <w:rsid w:val="00237752"/>
    <w:rsid w:val="002618E3"/>
    <w:rsid w:val="0026392B"/>
    <w:rsid w:val="00277024"/>
    <w:rsid w:val="002B66F4"/>
    <w:rsid w:val="00331203"/>
    <w:rsid w:val="003F4E5C"/>
    <w:rsid w:val="00416DD9"/>
    <w:rsid w:val="004B7494"/>
    <w:rsid w:val="00727478"/>
    <w:rsid w:val="00780BC8"/>
    <w:rsid w:val="00816E95"/>
    <w:rsid w:val="00936492"/>
    <w:rsid w:val="00A0594E"/>
    <w:rsid w:val="00A316D6"/>
    <w:rsid w:val="00A446F7"/>
    <w:rsid w:val="00A76582"/>
    <w:rsid w:val="00AF2B3C"/>
    <w:rsid w:val="00BA3150"/>
    <w:rsid w:val="00BC424A"/>
    <w:rsid w:val="00BC77FC"/>
    <w:rsid w:val="00BD6076"/>
    <w:rsid w:val="00BF4EE4"/>
    <w:rsid w:val="00BF5AAE"/>
    <w:rsid w:val="00CF4519"/>
    <w:rsid w:val="00ED3775"/>
    <w:rsid w:val="00E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  <w:style w:type="character" w:styleId="Vurgu">
    <w:name w:val="Emphasis"/>
    <w:basedOn w:val="VarsaylanParagrafYazTipi"/>
    <w:uiPriority w:val="20"/>
    <w:qFormat/>
    <w:rsid w:val="00BC7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EF22D-8B35-4B8A-A2A0-F73B2E19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2022-08-12T11:07:00Z</dcterms:created>
  <dcterms:modified xsi:type="dcterms:W3CDTF">2022-08-12T11:07:00Z</dcterms:modified>
</cp:coreProperties>
</file>