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9"/>
      </w:tblGrid>
      <w:tr w:rsidR="00BD7F1A" w:rsidRPr="00BD7F1A" w14:paraId="5791AC46" w14:textId="77777777" w:rsidTr="006A6387">
        <w:trPr>
          <w:trHeight w:val="1351"/>
        </w:trPr>
        <w:tc>
          <w:tcPr>
            <w:tcW w:w="1418" w:type="dxa"/>
          </w:tcPr>
          <w:p w14:paraId="6B57E4C5" w14:textId="77777777" w:rsidR="004B7494" w:rsidRPr="00BD7F1A" w:rsidRDefault="004B7494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699DBCB" w14:textId="675F7503" w:rsidR="004B7494" w:rsidRPr="00BD7F1A" w:rsidRDefault="00706185" w:rsidP="006A6387">
            <w:pPr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nekrotik dokularda fibrin bağlarını çöz</w:t>
            </w:r>
            <w:r w:rsidR="001F74C1" w:rsidRPr="00BD7F1A">
              <w:rPr>
                <w:rFonts w:ascii="Times New Roman" w:hAnsi="Times New Roman" w:cs="Times New Roman"/>
                <w:sz w:val="24"/>
                <w:szCs w:val="24"/>
              </w:rPr>
              <w:t>erek,</w:t>
            </w:r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00A" w:rsidRPr="00BD7F1A">
              <w:rPr>
                <w:rFonts w:ascii="Times New Roman" w:hAnsi="Times New Roman" w:cs="Times New Roman"/>
                <w:sz w:val="24"/>
                <w:szCs w:val="24"/>
              </w:rPr>
              <w:t>fibrinli</w:t>
            </w:r>
            <w:proofErr w:type="spellEnd"/>
            <w:r w:rsidR="0053000A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>doku</w:t>
            </w:r>
            <w:r w:rsidR="001F74C1" w:rsidRPr="00BD7F1A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8F2" w:rsidRPr="00BD7F1A">
              <w:rPr>
                <w:rFonts w:ascii="Times New Roman" w:hAnsi="Times New Roman" w:cs="Times New Roman"/>
                <w:sz w:val="24"/>
                <w:szCs w:val="24"/>
              </w:rPr>
              <w:t>debridmanını</w:t>
            </w:r>
            <w:proofErr w:type="spellEnd"/>
            <w:r w:rsidR="00F448F2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sağlamalı</w:t>
            </w:r>
            <w:r w:rsidR="00523907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D4D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iyileşmeyi </w:t>
            </w:r>
            <w:r w:rsidR="00C3450A" w:rsidRPr="00BD7F1A">
              <w:rPr>
                <w:rFonts w:ascii="Times New Roman" w:hAnsi="Times New Roman" w:cs="Times New Roman"/>
                <w:sz w:val="24"/>
                <w:szCs w:val="24"/>
              </w:rPr>
              <w:t>hızlandırmak amacı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ile tasarlanmış olmalı</w:t>
            </w:r>
            <w:r w:rsidR="001F74C1" w:rsidRPr="00BD7F1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BD7F1A" w:rsidRPr="00BD7F1A" w14:paraId="48B12155" w14:textId="77777777" w:rsidTr="006A6387">
        <w:trPr>
          <w:trHeight w:val="1197"/>
        </w:trPr>
        <w:tc>
          <w:tcPr>
            <w:tcW w:w="1418" w:type="dxa"/>
          </w:tcPr>
          <w:p w14:paraId="0A8AD5BF" w14:textId="05423936" w:rsidR="004B7494" w:rsidRPr="00BD7F1A" w:rsidRDefault="004B7494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BD7F1A" w:rsidRDefault="004B7494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7C3359E" w14:textId="17E86FA7" w:rsidR="00427F63" w:rsidRPr="00BD7F1A" w:rsidRDefault="000621C6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>enzimatik</w:t>
            </w:r>
            <w:proofErr w:type="spellEnd"/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>otolitik</w:t>
            </w:r>
            <w:proofErr w:type="spellEnd"/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EBB" w:rsidRPr="00BD7F1A">
              <w:rPr>
                <w:rFonts w:ascii="Times New Roman" w:hAnsi="Times New Roman" w:cs="Times New Roman"/>
                <w:sz w:val="24"/>
                <w:szCs w:val="24"/>
              </w:rPr>
              <w:t>debrid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yapan </w:t>
            </w:r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>tiplerinden herhangi biri olmalıdır.</w:t>
            </w:r>
          </w:p>
          <w:p w14:paraId="336BB607" w14:textId="2A8B5609" w:rsidR="000621C6" w:rsidRPr="00BD7F1A" w:rsidRDefault="000621C6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krem, merhem sprey</w:t>
            </w:r>
            <w:r w:rsidR="002D6EBB" w:rsidRPr="00BD7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5F3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jel</w:t>
            </w:r>
            <w:r w:rsidR="006A702F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EBB" w:rsidRPr="00BD7F1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702F" w:rsidRPr="00BD7F1A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2D6EBB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120" w:rsidRPr="00BD7F1A">
              <w:rPr>
                <w:rFonts w:ascii="Times New Roman" w:hAnsi="Times New Roman" w:cs="Times New Roman"/>
                <w:sz w:val="24"/>
                <w:szCs w:val="24"/>
              </w:rPr>
              <w:t>hidrojel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formlarından herhangi biri olmalıdır.</w:t>
            </w:r>
          </w:p>
          <w:p w14:paraId="5D093BA0" w14:textId="77777777" w:rsidR="00427F63" w:rsidRPr="00BD7F1A" w:rsidRDefault="005A675C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27F63" w:rsidRPr="00BD7F1A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B91D4F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muhtelif boy ve ebatları olmalıdır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DBE9AC" w14:textId="3E706F50" w:rsidR="001F47DB" w:rsidRPr="00BD7F1A" w:rsidRDefault="001F47DB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D6EBB" w:rsidRPr="00BD7F1A">
              <w:rPr>
                <w:rFonts w:ascii="Times New Roman" w:hAnsi="Times New Roman" w:cs="Times New Roman"/>
                <w:sz w:val="24"/>
                <w:szCs w:val="24"/>
              </w:rPr>
              <w:t>içeriği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steril veya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6A702F" w:rsidRPr="00BD7F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steril çeşitlerinden herhangi biri olmalıdır.</w:t>
            </w:r>
          </w:p>
          <w:p w14:paraId="11D8E40A" w14:textId="7AE51D01" w:rsidR="00BC0C62" w:rsidRPr="00BD7F1A" w:rsidRDefault="00BC0C62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</w:t>
            </w:r>
            <w:r w:rsidR="00041B9A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5’ten küçük ise yuvarlanacak basamaktaki rakam değişmez ve bu basamağın sağındaki diğer basamaklar atılır.</w:t>
            </w:r>
          </w:p>
        </w:tc>
      </w:tr>
      <w:tr w:rsidR="00BD7F1A" w:rsidRPr="00BD7F1A" w14:paraId="107ECB83" w14:textId="77777777" w:rsidTr="006A6387">
        <w:trPr>
          <w:trHeight w:val="1197"/>
        </w:trPr>
        <w:tc>
          <w:tcPr>
            <w:tcW w:w="1418" w:type="dxa"/>
          </w:tcPr>
          <w:p w14:paraId="7277792F" w14:textId="77777777" w:rsidR="00041B9A" w:rsidRPr="00BD7F1A" w:rsidRDefault="00041B9A" w:rsidP="00041B9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837286A" w14:textId="77777777" w:rsidR="00041B9A" w:rsidRPr="00BD7F1A" w:rsidRDefault="00041B9A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BB55E97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aşağıdaki etken maddelerinden bir veya birden fazlasını içermelidir;</w:t>
            </w:r>
          </w:p>
          <w:p w14:paraId="37FA9049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Perforalum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Ananas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comosus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ekstraktı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bromelain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27E1AA9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tetraborat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Propilen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glikol </w:t>
            </w:r>
          </w:p>
          <w:p w14:paraId="5AD18C93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aljinat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içeren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hidroaktif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jel </w:t>
            </w:r>
          </w:p>
          <w:p w14:paraId="340AD2AC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hiyolüronat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%2,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Glisin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%2, L-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Prolin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%1,</w:t>
            </w:r>
            <w:proofErr w:type="gram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5,L</w:t>
            </w:r>
            <w:proofErr w:type="gram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-Lösin %0,3, L-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Lizin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HCl%0,2, </w:t>
            </w:r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Metil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parahidroksibenzoat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%0.3,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Propil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parahidroksibenzoat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%0.03, 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Propilen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glikol %5.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0E036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Hipokloröz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asit, 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hipoklorit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kolloidal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silika </w:t>
            </w:r>
          </w:p>
          <w:p w14:paraId="66C4DF10" w14:textId="77777777" w:rsidR="00BD7F1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Alginate</w:t>
            </w:r>
            <w:proofErr w:type="spellEnd"/>
          </w:p>
          <w:p w14:paraId="4F96F7CD" w14:textId="6C968DA5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Alginate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AD5BD8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Carboxymethyl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A96EA6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Pektin</w:t>
            </w:r>
          </w:p>
          <w:p w14:paraId="35068F7A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Hidroksietil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selüloz ve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karbomerdir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B0580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PEG (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polietilenglikol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GLG (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glikozoksidaz+laktoperoksidaz+guaikol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CCED299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Carboxymethyl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42A0B0" w14:textId="77777777" w:rsidR="00041B9A" w:rsidRPr="00BD7F1A" w:rsidRDefault="00041B9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%0,2 sodyum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hiyalüronat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kolajenaz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(en az 2.0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nkat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/g) </w:t>
            </w:r>
          </w:p>
          <w:p w14:paraId="57166072" w14:textId="4DEF664F" w:rsidR="00BD7F1A" w:rsidRPr="00BD7F1A" w:rsidRDefault="00BD7F1A" w:rsidP="00BD7F1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80"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Aktif iyonik gümüş (gümüş salınım oranı en az 50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7F1A" w:rsidRPr="00BD7F1A" w14:paraId="2F83321E" w14:textId="77777777" w:rsidTr="006A6387">
        <w:trPr>
          <w:trHeight w:val="9106"/>
        </w:trPr>
        <w:tc>
          <w:tcPr>
            <w:tcW w:w="1418" w:type="dxa"/>
          </w:tcPr>
          <w:p w14:paraId="2C668730" w14:textId="77777777" w:rsidR="00041B9A" w:rsidRPr="00BD7F1A" w:rsidRDefault="00041B9A" w:rsidP="00041B9A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0A88EDC" w14:textId="59ABEC16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aşağıdaki yardımcı etken maddelerinden bir veya birden fazlasını içermelidir;</w:t>
            </w:r>
          </w:p>
          <w:p w14:paraId="63C344C6" w14:textId="0A1199A7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Propilen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Glikol, </w:t>
            </w:r>
          </w:p>
          <w:p w14:paraId="0648E4ED" w14:textId="4F3F1629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Gliserol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3CD4C27" w14:textId="491BA104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Ringer’s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Çözeltisi,</w:t>
            </w:r>
          </w:p>
          <w:p w14:paraId="7F7AD880" w14:textId="58FD2608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Kalsiyum Klorür</w:t>
            </w:r>
          </w:p>
          <w:p w14:paraId="031A380B" w14:textId="224449EA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Glg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Enzim Sistemi</w:t>
            </w:r>
          </w:p>
          <w:p w14:paraId="5F89E3D2" w14:textId="5EFF3596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Polyol</w:t>
            </w:r>
            <w:proofErr w:type="spellEnd"/>
          </w:p>
          <w:p w14:paraId="6FF6B451" w14:textId="4269DE39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Saf Su</w:t>
            </w:r>
          </w:p>
          <w:p w14:paraId="019230F8" w14:textId="0C6E896F" w:rsidR="00041B9A" w:rsidRPr="00BD7F1A" w:rsidRDefault="006A702F" w:rsidP="006A6387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Hafif Likit Parafin</w:t>
            </w:r>
          </w:p>
          <w:p w14:paraId="56B831AA" w14:textId="77777777" w:rsidR="006A702F" w:rsidRPr="00BD7F1A" w:rsidRDefault="006A702F" w:rsidP="006A702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Beyaz Vazelin</w:t>
            </w:r>
          </w:p>
          <w:p w14:paraId="766561F1" w14:textId="2E859BD6" w:rsidR="00041B9A" w:rsidRPr="00BD7F1A" w:rsidRDefault="006A702F" w:rsidP="006A702F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Acacia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Senegal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Gum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Tocopherol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Glycerin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Bees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Wax</w:t>
            </w:r>
            <w:proofErr w:type="spellEnd"/>
          </w:p>
          <w:p w14:paraId="1EFB5F0B" w14:textId="43017905" w:rsidR="00BD7F1A" w:rsidRPr="00BD7F1A" w:rsidRDefault="00BD7F1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Ürünün aktif gümüş içeren formlarında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antimikrobiyal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özellik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7 (yedi) gün etkili olmalıdır. </w:t>
            </w:r>
          </w:p>
          <w:p w14:paraId="3D451179" w14:textId="05D0312E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fibrinli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ve nekrotik doku tarafından kolayca emilebilmelidir.</w:t>
            </w:r>
          </w:p>
          <w:p w14:paraId="1DBC225B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günlük kullanıma uygun olmalı ve yeniden uygulanana kadar etkisini en az 24 saat kaybetmemelidir.</w:t>
            </w:r>
          </w:p>
          <w:p w14:paraId="557EB6E7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kaviteli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yaralarda da kolayca uygulanabilmelidir.</w:t>
            </w:r>
          </w:p>
          <w:p w14:paraId="793B9E72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uygulanan bölgede yoğunluğu ve yapısı bozulmadan sabit kalabilmelidir.</w:t>
            </w:r>
          </w:p>
          <w:p w14:paraId="7F3A7625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Ürünler sağlıklı dokuya zarar vermemeli yara ve yara çevresinde </w:t>
            </w:r>
            <w:proofErr w:type="spellStart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irritasyona</w:t>
            </w:r>
            <w:proofErr w:type="spellEnd"/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neden olmamalıdır. </w:t>
            </w:r>
          </w:p>
          <w:p w14:paraId="00D357AA" w14:textId="77777777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Ürünler kolay uygulanabilmeli, acısız ve ağrısız bir uygulama imkân sağlamalıdır.  </w:t>
            </w:r>
          </w:p>
          <w:p w14:paraId="745D0484" w14:textId="46D6CFBA" w:rsidR="00041B9A" w:rsidRPr="00BD7F1A" w:rsidRDefault="00041B9A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 yara yatağı kullanıma uygun olmalıdır.</w:t>
            </w:r>
          </w:p>
        </w:tc>
      </w:tr>
      <w:tr w:rsidR="00BD7F1A" w:rsidRPr="00BD7F1A" w14:paraId="17A5157A" w14:textId="77777777" w:rsidTr="006A6387">
        <w:trPr>
          <w:trHeight w:val="937"/>
        </w:trPr>
        <w:tc>
          <w:tcPr>
            <w:tcW w:w="1418" w:type="dxa"/>
          </w:tcPr>
          <w:p w14:paraId="2E7CFBBE" w14:textId="77777777" w:rsidR="004B7494" w:rsidRPr="00BD7F1A" w:rsidRDefault="004B7494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BD7F1A" w:rsidRDefault="004B7494" w:rsidP="002611F3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93BFD11" w14:textId="41697999" w:rsidR="004B00B8" w:rsidRPr="00BD7F1A" w:rsidRDefault="006E7650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Ürünlerle ilgili i</w:t>
            </w:r>
            <w:r w:rsidR="00346271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stenildiğinde sunulmak üzere </w:t>
            </w:r>
            <w:proofErr w:type="spellStart"/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>enzimatik</w:t>
            </w:r>
            <w:proofErr w:type="spellEnd"/>
            <w:r w:rsidR="00757F2B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F2B" w:rsidRPr="00BD7F1A">
              <w:rPr>
                <w:rFonts w:ascii="Times New Roman" w:hAnsi="Times New Roman" w:cs="Times New Roman"/>
                <w:sz w:val="24"/>
                <w:szCs w:val="24"/>
              </w:rPr>
              <w:t>debrid</w:t>
            </w:r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yapan</w:t>
            </w:r>
            <w:r w:rsidR="00B24137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9E074E" w:rsidRPr="00BD7F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>litik</w:t>
            </w:r>
            <w:proofErr w:type="spellEnd"/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>debri</w:t>
            </w:r>
            <w:r w:rsidR="009E074E" w:rsidRPr="00BD7F1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="00E700EF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r w:rsidR="00027129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F2B" w:rsidRPr="00BD7F1A">
              <w:rPr>
                <w:rFonts w:ascii="Times New Roman" w:hAnsi="Times New Roman" w:cs="Times New Roman"/>
                <w:sz w:val="24"/>
                <w:szCs w:val="24"/>
              </w:rPr>
              <w:t>çeşitlerinden hangisine</w:t>
            </w:r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uygun olduğunu</w:t>
            </w:r>
            <w:r w:rsidR="000B7866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destekler nitelikte</w:t>
            </w:r>
            <w:r w:rsidR="00D11DE6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E0D" w:rsidRPr="00BD7F1A">
              <w:rPr>
                <w:rFonts w:ascii="Times New Roman" w:hAnsi="Times New Roman" w:cs="Times New Roman"/>
                <w:sz w:val="24"/>
                <w:szCs w:val="24"/>
              </w:rPr>
              <w:t>laboratuvar</w:t>
            </w:r>
            <w:r w:rsidR="00270C02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F2B" w:rsidRPr="00BD7F1A">
              <w:rPr>
                <w:rFonts w:ascii="Times New Roman" w:hAnsi="Times New Roman" w:cs="Times New Roman"/>
                <w:sz w:val="24"/>
                <w:szCs w:val="24"/>
              </w:rPr>
              <w:t>sonuçları, hayvan</w:t>
            </w:r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deneyleri,</w:t>
            </w:r>
            <w:r w:rsidR="00270C02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D0" w:rsidRPr="00BD7F1A">
              <w:rPr>
                <w:rFonts w:ascii="Times New Roman" w:hAnsi="Times New Roman" w:cs="Times New Roman"/>
                <w:sz w:val="24"/>
                <w:szCs w:val="24"/>
              </w:rPr>
              <w:t>hasta üzerinde yapılan klinik çalışmalar</w:t>
            </w:r>
            <w:r w:rsidR="00270C02" w:rsidRPr="00BD7F1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F605EC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271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içeren </w:t>
            </w:r>
            <w:r w:rsidR="000F0E0D" w:rsidRPr="00BD7F1A">
              <w:rPr>
                <w:rFonts w:ascii="Times New Roman" w:hAnsi="Times New Roman" w:cs="Times New Roman"/>
                <w:sz w:val="24"/>
                <w:szCs w:val="24"/>
              </w:rPr>
              <w:t>literatür</w:t>
            </w:r>
            <w:r w:rsidR="00346271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bilgileri olmalıdır.</w:t>
            </w:r>
          </w:p>
          <w:p w14:paraId="75A8A272" w14:textId="3F111995" w:rsidR="005A675C" w:rsidRPr="00BD7F1A" w:rsidRDefault="00AF6A68" w:rsidP="006A638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A7C73" w:rsidRPr="00BD7F1A">
              <w:rPr>
                <w:rFonts w:ascii="Times New Roman" w:hAnsi="Times New Roman" w:cs="Times New Roman"/>
                <w:sz w:val="24"/>
                <w:szCs w:val="24"/>
              </w:rPr>
              <w:t>ekli ambalaj</w:t>
            </w:r>
            <w:r w:rsidR="004B00B8" w:rsidRPr="00BD7F1A">
              <w:rPr>
                <w:rFonts w:ascii="Times New Roman" w:hAnsi="Times New Roman" w:cs="Times New Roman"/>
                <w:sz w:val="24"/>
                <w:szCs w:val="24"/>
              </w:rPr>
              <w:t>da sunulmalıdır.</w:t>
            </w:r>
            <w:r w:rsidR="005A7C73" w:rsidRPr="00BD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3529" w14:textId="713DC121" w:rsidR="00986A1D" w:rsidRPr="00BD7F1A" w:rsidRDefault="00986A1D" w:rsidP="006A6387">
            <w:pPr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 orijinal ambalajı üzerinde UBB ve LOT bilgisi bulunmalıdır.</w:t>
            </w:r>
          </w:p>
        </w:tc>
      </w:tr>
    </w:tbl>
    <w:p w14:paraId="6FDBA4D4" w14:textId="77777777" w:rsidR="00DD5ECD" w:rsidRPr="00BD7F1A" w:rsidRDefault="00DD5ECD" w:rsidP="002611F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F0D70" w14:textId="77777777" w:rsidR="00A83FEC" w:rsidRPr="00BD7F1A" w:rsidRDefault="00A83FEC" w:rsidP="002611F3">
      <w:pPr>
        <w:pStyle w:val="ListeParagraf"/>
        <w:spacing w:line="360" w:lineRule="auto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3ACDAE0A" w14:textId="3633BAB3" w:rsidR="002F26DF" w:rsidRPr="00BD7F1A" w:rsidRDefault="002F26DF" w:rsidP="002611F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26DF" w:rsidRPr="00BD7F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36963" w14:textId="77777777" w:rsidR="001C4ACF" w:rsidRDefault="001C4ACF" w:rsidP="00CC1546">
      <w:pPr>
        <w:spacing w:after="0" w:line="240" w:lineRule="auto"/>
      </w:pPr>
      <w:r>
        <w:separator/>
      </w:r>
    </w:p>
  </w:endnote>
  <w:endnote w:type="continuationSeparator" w:id="0">
    <w:p w14:paraId="672AD39A" w14:textId="77777777" w:rsidR="001C4ACF" w:rsidRDefault="001C4ACF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8E940" w14:textId="77777777" w:rsidR="001C4ACF" w:rsidRDefault="001C4ACF" w:rsidP="00CC1546">
      <w:pPr>
        <w:spacing w:after="0" w:line="240" w:lineRule="auto"/>
      </w:pPr>
      <w:r>
        <w:separator/>
      </w:r>
    </w:p>
  </w:footnote>
  <w:footnote w:type="continuationSeparator" w:id="0">
    <w:p w14:paraId="734291CD" w14:textId="77777777" w:rsidR="001C4ACF" w:rsidRDefault="001C4ACF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246E" w14:textId="06C24B5B" w:rsidR="009D0008" w:rsidRPr="00337EEB" w:rsidRDefault="009D0008" w:rsidP="00337EEB">
    <w:pPr>
      <w:pStyle w:val="stBilgi"/>
      <w:ind w:left="-709"/>
      <w:rPr>
        <w:rFonts w:ascii="Times New Roman" w:hAnsi="Times New Roman" w:cs="Times New Roman"/>
        <w:b/>
        <w:sz w:val="24"/>
        <w:szCs w:val="24"/>
      </w:rPr>
    </w:pPr>
    <w:r w:rsidRPr="00337EEB">
      <w:rPr>
        <w:rFonts w:ascii="Times New Roman" w:hAnsi="Times New Roman" w:cs="Times New Roman"/>
        <w:b/>
        <w:sz w:val="24"/>
        <w:szCs w:val="24"/>
      </w:rPr>
      <w:t>SMT4111 YARA BAKIM</w:t>
    </w:r>
    <w:r w:rsidR="007B2A01" w:rsidRPr="00337EEB">
      <w:rPr>
        <w:rFonts w:ascii="Times New Roman" w:hAnsi="Times New Roman" w:cs="Times New Roman"/>
        <w:b/>
        <w:sz w:val="24"/>
        <w:szCs w:val="24"/>
      </w:rPr>
      <w:t>,</w:t>
    </w:r>
    <w:r w:rsidRPr="00337EEB">
      <w:rPr>
        <w:rFonts w:ascii="Times New Roman" w:hAnsi="Times New Roman" w:cs="Times New Roman"/>
        <w:b/>
        <w:sz w:val="24"/>
        <w:szCs w:val="24"/>
      </w:rPr>
      <w:t xml:space="preserve"> DEBRİDMAN YAPAN</w:t>
    </w:r>
  </w:p>
  <w:p w14:paraId="7F378067" w14:textId="2C9C58DF" w:rsidR="00CC1546" w:rsidRPr="00337EEB" w:rsidRDefault="00CC1546" w:rsidP="00142A9F">
    <w:pPr>
      <w:pStyle w:val="stBilgi"/>
      <w:ind w:left="-567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F83"/>
    <w:multiLevelType w:val="hybridMultilevel"/>
    <w:tmpl w:val="D28E3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E67E87"/>
    <w:multiLevelType w:val="hybridMultilevel"/>
    <w:tmpl w:val="8CCE55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4D378A7"/>
    <w:multiLevelType w:val="hybridMultilevel"/>
    <w:tmpl w:val="E924BE7C"/>
    <w:lvl w:ilvl="0" w:tplc="9116A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4AC0"/>
    <w:multiLevelType w:val="hybridMultilevel"/>
    <w:tmpl w:val="D724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CCC"/>
    <w:multiLevelType w:val="hybridMultilevel"/>
    <w:tmpl w:val="4798F398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4457B"/>
    <w:multiLevelType w:val="hybridMultilevel"/>
    <w:tmpl w:val="08D41C96"/>
    <w:lvl w:ilvl="0" w:tplc="9116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519DB"/>
    <w:multiLevelType w:val="hybridMultilevel"/>
    <w:tmpl w:val="321E12B8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E40D1"/>
    <w:multiLevelType w:val="hybridMultilevel"/>
    <w:tmpl w:val="9B5A3CA8"/>
    <w:lvl w:ilvl="0" w:tplc="041F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1" w15:restartNumberingAfterBreak="0">
    <w:nsid w:val="60DB040A"/>
    <w:multiLevelType w:val="hybridMultilevel"/>
    <w:tmpl w:val="1624CD56"/>
    <w:lvl w:ilvl="0" w:tplc="10804080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61B70461"/>
    <w:multiLevelType w:val="hybridMultilevel"/>
    <w:tmpl w:val="FF307B14"/>
    <w:lvl w:ilvl="0" w:tplc="F8963AB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06055"/>
    <w:multiLevelType w:val="hybridMultilevel"/>
    <w:tmpl w:val="D320FA56"/>
    <w:lvl w:ilvl="0" w:tplc="9116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C5A"/>
    <w:rsid w:val="00016D4D"/>
    <w:rsid w:val="000217B5"/>
    <w:rsid w:val="00024854"/>
    <w:rsid w:val="00027129"/>
    <w:rsid w:val="00041B9A"/>
    <w:rsid w:val="000465BE"/>
    <w:rsid w:val="00046B3A"/>
    <w:rsid w:val="000621C6"/>
    <w:rsid w:val="00064E64"/>
    <w:rsid w:val="00084CA5"/>
    <w:rsid w:val="00093E43"/>
    <w:rsid w:val="000A7A87"/>
    <w:rsid w:val="000B7866"/>
    <w:rsid w:val="000D04A5"/>
    <w:rsid w:val="000D4F0F"/>
    <w:rsid w:val="000F0E0D"/>
    <w:rsid w:val="000F29EA"/>
    <w:rsid w:val="000F410E"/>
    <w:rsid w:val="00104579"/>
    <w:rsid w:val="0011359B"/>
    <w:rsid w:val="0011408A"/>
    <w:rsid w:val="001143B9"/>
    <w:rsid w:val="00121EBF"/>
    <w:rsid w:val="00142A9F"/>
    <w:rsid w:val="0015521E"/>
    <w:rsid w:val="0015733B"/>
    <w:rsid w:val="001603C0"/>
    <w:rsid w:val="0017036C"/>
    <w:rsid w:val="00192891"/>
    <w:rsid w:val="00192E1B"/>
    <w:rsid w:val="00195FEB"/>
    <w:rsid w:val="001A0D55"/>
    <w:rsid w:val="001A15C8"/>
    <w:rsid w:val="001C2787"/>
    <w:rsid w:val="001C4ACF"/>
    <w:rsid w:val="001C57AF"/>
    <w:rsid w:val="001F23EC"/>
    <w:rsid w:val="001F47DB"/>
    <w:rsid w:val="001F67BA"/>
    <w:rsid w:val="001F74C1"/>
    <w:rsid w:val="00205531"/>
    <w:rsid w:val="00222E82"/>
    <w:rsid w:val="00230E71"/>
    <w:rsid w:val="00234920"/>
    <w:rsid w:val="002611F3"/>
    <w:rsid w:val="002618E3"/>
    <w:rsid w:val="00270C02"/>
    <w:rsid w:val="00277198"/>
    <w:rsid w:val="00277B45"/>
    <w:rsid w:val="00282D32"/>
    <w:rsid w:val="00283B94"/>
    <w:rsid w:val="002934EC"/>
    <w:rsid w:val="002B66F4"/>
    <w:rsid w:val="002D138D"/>
    <w:rsid w:val="002D6EBB"/>
    <w:rsid w:val="002F26DF"/>
    <w:rsid w:val="002F29EA"/>
    <w:rsid w:val="0030502E"/>
    <w:rsid w:val="00331203"/>
    <w:rsid w:val="00336300"/>
    <w:rsid w:val="00336353"/>
    <w:rsid w:val="00337EEB"/>
    <w:rsid w:val="00346271"/>
    <w:rsid w:val="00384EC5"/>
    <w:rsid w:val="00392655"/>
    <w:rsid w:val="00392E1F"/>
    <w:rsid w:val="003A72A5"/>
    <w:rsid w:val="003C44BC"/>
    <w:rsid w:val="00404DEA"/>
    <w:rsid w:val="00427F63"/>
    <w:rsid w:val="00465F60"/>
    <w:rsid w:val="0047609A"/>
    <w:rsid w:val="0047731E"/>
    <w:rsid w:val="00480E35"/>
    <w:rsid w:val="0048133B"/>
    <w:rsid w:val="004A3201"/>
    <w:rsid w:val="004A4B02"/>
    <w:rsid w:val="004B00B8"/>
    <w:rsid w:val="004B58B6"/>
    <w:rsid w:val="004B7494"/>
    <w:rsid w:val="004D5CD2"/>
    <w:rsid w:val="005121AF"/>
    <w:rsid w:val="0051234E"/>
    <w:rsid w:val="00523907"/>
    <w:rsid w:val="0053000A"/>
    <w:rsid w:val="00536CD7"/>
    <w:rsid w:val="00541AB0"/>
    <w:rsid w:val="00560490"/>
    <w:rsid w:val="0057147E"/>
    <w:rsid w:val="00590259"/>
    <w:rsid w:val="0059350D"/>
    <w:rsid w:val="005A5CA0"/>
    <w:rsid w:val="005A675C"/>
    <w:rsid w:val="005A7C73"/>
    <w:rsid w:val="005B7C0A"/>
    <w:rsid w:val="005C66BE"/>
    <w:rsid w:val="005D4A59"/>
    <w:rsid w:val="005F15DF"/>
    <w:rsid w:val="005F74B2"/>
    <w:rsid w:val="00644CAC"/>
    <w:rsid w:val="006A3A26"/>
    <w:rsid w:val="006A6387"/>
    <w:rsid w:val="006A6A35"/>
    <w:rsid w:val="006A702F"/>
    <w:rsid w:val="006B1FA9"/>
    <w:rsid w:val="006C01B4"/>
    <w:rsid w:val="006E0611"/>
    <w:rsid w:val="006E7650"/>
    <w:rsid w:val="006E7969"/>
    <w:rsid w:val="00703C35"/>
    <w:rsid w:val="00706185"/>
    <w:rsid w:val="00723008"/>
    <w:rsid w:val="0075506D"/>
    <w:rsid w:val="00757F2B"/>
    <w:rsid w:val="00767451"/>
    <w:rsid w:val="00773D5E"/>
    <w:rsid w:val="00774D17"/>
    <w:rsid w:val="007B2A01"/>
    <w:rsid w:val="007B6B53"/>
    <w:rsid w:val="007C5ACC"/>
    <w:rsid w:val="00812D2B"/>
    <w:rsid w:val="008401E7"/>
    <w:rsid w:val="00842FB2"/>
    <w:rsid w:val="00851B9C"/>
    <w:rsid w:val="00852611"/>
    <w:rsid w:val="00852B0E"/>
    <w:rsid w:val="00887168"/>
    <w:rsid w:val="00891511"/>
    <w:rsid w:val="008935BA"/>
    <w:rsid w:val="008A29C9"/>
    <w:rsid w:val="008A612E"/>
    <w:rsid w:val="00911D5A"/>
    <w:rsid w:val="00916016"/>
    <w:rsid w:val="0092560C"/>
    <w:rsid w:val="00936492"/>
    <w:rsid w:val="0094486C"/>
    <w:rsid w:val="00950FE6"/>
    <w:rsid w:val="00974D6C"/>
    <w:rsid w:val="00986A1D"/>
    <w:rsid w:val="00990AE8"/>
    <w:rsid w:val="009C3338"/>
    <w:rsid w:val="009C5345"/>
    <w:rsid w:val="009C57FD"/>
    <w:rsid w:val="009D0008"/>
    <w:rsid w:val="009E074E"/>
    <w:rsid w:val="009E17AE"/>
    <w:rsid w:val="009E7B04"/>
    <w:rsid w:val="009F16E7"/>
    <w:rsid w:val="009F6E2F"/>
    <w:rsid w:val="00A0594E"/>
    <w:rsid w:val="00A14FC6"/>
    <w:rsid w:val="00A358BE"/>
    <w:rsid w:val="00A42E91"/>
    <w:rsid w:val="00A47E42"/>
    <w:rsid w:val="00A65289"/>
    <w:rsid w:val="00A76582"/>
    <w:rsid w:val="00A8174E"/>
    <w:rsid w:val="00A83FEC"/>
    <w:rsid w:val="00AB261F"/>
    <w:rsid w:val="00AB661F"/>
    <w:rsid w:val="00AC1F2F"/>
    <w:rsid w:val="00AE1590"/>
    <w:rsid w:val="00AF6A68"/>
    <w:rsid w:val="00AF7035"/>
    <w:rsid w:val="00B24137"/>
    <w:rsid w:val="00B314F2"/>
    <w:rsid w:val="00B3442B"/>
    <w:rsid w:val="00B4743E"/>
    <w:rsid w:val="00B500DA"/>
    <w:rsid w:val="00B56B1E"/>
    <w:rsid w:val="00B636BE"/>
    <w:rsid w:val="00B649EA"/>
    <w:rsid w:val="00B848F1"/>
    <w:rsid w:val="00B91D4F"/>
    <w:rsid w:val="00BA3150"/>
    <w:rsid w:val="00BB1530"/>
    <w:rsid w:val="00BC0C62"/>
    <w:rsid w:val="00BD6076"/>
    <w:rsid w:val="00BD7F1A"/>
    <w:rsid w:val="00BE0970"/>
    <w:rsid w:val="00BE57F0"/>
    <w:rsid w:val="00BF4EE4"/>
    <w:rsid w:val="00BF5AAE"/>
    <w:rsid w:val="00BF6295"/>
    <w:rsid w:val="00BF6EB3"/>
    <w:rsid w:val="00C12DE7"/>
    <w:rsid w:val="00C17352"/>
    <w:rsid w:val="00C20120"/>
    <w:rsid w:val="00C26ECD"/>
    <w:rsid w:val="00C335F3"/>
    <w:rsid w:val="00C3450A"/>
    <w:rsid w:val="00C4241F"/>
    <w:rsid w:val="00C61013"/>
    <w:rsid w:val="00C6254E"/>
    <w:rsid w:val="00C7026B"/>
    <w:rsid w:val="00C830B2"/>
    <w:rsid w:val="00CA3450"/>
    <w:rsid w:val="00CC1546"/>
    <w:rsid w:val="00CC39D0"/>
    <w:rsid w:val="00CE45A8"/>
    <w:rsid w:val="00CE7EE6"/>
    <w:rsid w:val="00D11DE6"/>
    <w:rsid w:val="00D25AF0"/>
    <w:rsid w:val="00D65159"/>
    <w:rsid w:val="00D74B53"/>
    <w:rsid w:val="00D86B36"/>
    <w:rsid w:val="00D940F0"/>
    <w:rsid w:val="00D96F25"/>
    <w:rsid w:val="00DA0149"/>
    <w:rsid w:val="00DD5ECD"/>
    <w:rsid w:val="00DE2050"/>
    <w:rsid w:val="00E02F81"/>
    <w:rsid w:val="00E146CD"/>
    <w:rsid w:val="00E17879"/>
    <w:rsid w:val="00E43393"/>
    <w:rsid w:val="00E55DD7"/>
    <w:rsid w:val="00E66AA6"/>
    <w:rsid w:val="00E700EF"/>
    <w:rsid w:val="00E71A81"/>
    <w:rsid w:val="00ED3775"/>
    <w:rsid w:val="00EE16DB"/>
    <w:rsid w:val="00EE690D"/>
    <w:rsid w:val="00F07A87"/>
    <w:rsid w:val="00F22E26"/>
    <w:rsid w:val="00F22ECF"/>
    <w:rsid w:val="00F323A4"/>
    <w:rsid w:val="00F3558B"/>
    <w:rsid w:val="00F40A7E"/>
    <w:rsid w:val="00F448F2"/>
    <w:rsid w:val="00F605EC"/>
    <w:rsid w:val="00F73F67"/>
    <w:rsid w:val="00F8645F"/>
    <w:rsid w:val="00F87C1A"/>
    <w:rsid w:val="00F91406"/>
    <w:rsid w:val="00F95299"/>
    <w:rsid w:val="00FA6F6B"/>
    <w:rsid w:val="00FD571C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F73F67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D96F25"/>
    <w:pPr>
      <w:widowControl w:val="0"/>
      <w:autoSpaceDE w:val="0"/>
      <w:autoSpaceDN w:val="0"/>
      <w:spacing w:before="46" w:after="0" w:line="240" w:lineRule="auto"/>
      <w:ind w:left="7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BB8C-CE1D-4A57-993D-EA166B5A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6</cp:revision>
  <dcterms:created xsi:type="dcterms:W3CDTF">2025-08-04T12:25:00Z</dcterms:created>
  <dcterms:modified xsi:type="dcterms:W3CDTF">2025-11-19T09:32:00Z</dcterms:modified>
</cp:coreProperties>
</file>