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7"/>
        <w:gridCol w:w="8303"/>
      </w:tblGrid>
      <w:tr w:rsidR="004B7494" w:rsidTr="008311EC">
        <w:trPr>
          <w:trHeight w:val="850"/>
        </w:trPr>
        <w:tc>
          <w:tcPr>
            <w:tcW w:w="1537" w:type="dxa"/>
          </w:tcPr>
          <w:p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rsidR="004B7494" w:rsidRPr="0077128E" w:rsidRDefault="00BE6BC5"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Pr>
                <w:rFonts w:ascii="Times New Roman" w:hAnsi="Times New Roman" w:cs="Times New Roman"/>
                <w:sz w:val="24"/>
                <w:szCs w:val="24"/>
              </w:rPr>
              <w:t>Ürün</w:t>
            </w:r>
            <w:r w:rsidR="0077128E" w:rsidRPr="008E0A84">
              <w:rPr>
                <w:rFonts w:ascii="Times New Roman" w:hAnsi="Times New Roman" w:cs="Times New Roman"/>
                <w:sz w:val="24"/>
                <w:szCs w:val="24"/>
              </w:rPr>
              <w:t>,sıcaklık derecesi kullanıcı tarafından seçilebilen ısıtıcılı nemlendirici aracılığı ile hastalara yüksek akış oksijen tedavisi uygulamak amacıyla tasarlanmış olmalıdır.</w:t>
            </w:r>
          </w:p>
        </w:tc>
      </w:tr>
      <w:tr w:rsidR="004B7494" w:rsidTr="003A281D">
        <w:trPr>
          <w:trHeight w:val="1069"/>
        </w:trPr>
        <w:tc>
          <w:tcPr>
            <w:tcW w:w="1537" w:type="dxa"/>
          </w:tcPr>
          <w:p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tc>
        <w:tc>
          <w:tcPr>
            <w:tcW w:w="8303" w:type="dxa"/>
            <w:shd w:val="clear" w:color="auto" w:fill="auto"/>
          </w:tcPr>
          <w:p w:rsidR="008311EC" w:rsidRDefault="00C108EE"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r w:rsidR="0077128E" w:rsidRPr="008E0A84">
              <w:rPr>
                <w:rFonts w:ascii="Times New Roman" w:hAnsi="Times New Roman" w:cs="Times New Roman"/>
                <w:sz w:val="24"/>
                <w:szCs w:val="24"/>
              </w:rPr>
              <w:t>yetişkin</w:t>
            </w:r>
            <w:r w:rsidR="00FF5B68">
              <w:rPr>
                <w:rFonts w:ascii="Times New Roman" w:hAnsi="Times New Roman" w:cs="Times New Roman"/>
                <w:sz w:val="24"/>
                <w:szCs w:val="24"/>
              </w:rPr>
              <w:t>, pediatrik veya yeni doğan</w:t>
            </w:r>
            <w:r w:rsidR="0077128E" w:rsidRPr="008E0A84">
              <w:rPr>
                <w:rFonts w:ascii="Times New Roman" w:hAnsi="Times New Roman" w:cs="Times New Roman"/>
                <w:sz w:val="24"/>
                <w:szCs w:val="24"/>
              </w:rPr>
              <w:t xml:space="preserve"> hasta gruplarında kullanılabilmesi için en az üç farklı boyu olmalıdır.</w:t>
            </w:r>
          </w:p>
          <w:p w:rsidR="00A9532B" w:rsidRPr="0077128E" w:rsidRDefault="00A9532B" w:rsidP="00092F7D">
            <w:pPr>
              <w:pStyle w:val="ListeParagraf"/>
              <w:spacing w:before="120" w:after="120" w:line="360" w:lineRule="auto"/>
              <w:ind w:right="436"/>
              <w:jc w:val="both"/>
              <w:rPr>
                <w:rFonts w:ascii="Times New Roman" w:hAnsi="Times New Roman" w:cs="Times New Roman"/>
                <w:sz w:val="24"/>
                <w:szCs w:val="24"/>
              </w:rPr>
            </w:pPr>
          </w:p>
        </w:tc>
      </w:tr>
      <w:tr w:rsidR="004B7494" w:rsidTr="004B7494">
        <w:trPr>
          <w:trHeight w:val="1640"/>
        </w:trPr>
        <w:tc>
          <w:tcPr>
            <w:tcW w:w="1537" w:type="dxa"/>
          </w:tcPr>
          <w:p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rsidR="004B7494" w:rsidRPr="004B7494" w:rsidRDefault="004B7494" w:rsidP="008311EC">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rsidR="00092F7D" w:rsidRDefault="00092F7D"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Pr>
                <w:rFonts w:ascii="Times New Roman" w:hAnsi="Times New Roman" w:cs="Times New Roman"/>
                <w:sz w:val="24"/>
                <w:szCs w:val="24"/>
              </w:rPr>
              <w:t xml:space="preserve">Ürün, </w:t>
            </w:r>
            <w:r w:rsidRPr="008E0A84">
              <w:rPr>
                <w:rFonts w:ascii="Times New Roman" w:hAnsi="Times New Roman" w:cs="Times New Roman"/>
                <w:sz w:val="24"/>
                <w:szCs w:val="24"/>
              </w:rPr>
              <w:t xml:space="preserve">uzun süreli kullanımlarda hasta yüzünde deformasyon veya yara </w:t>
            </w:r>
            <w:bookmarkStart w:id="0" w:name="_GoBack"/>
            <w:bookmarkEnd w:id="0"/>
            <w:r w:rsidRPr="008E0A84">
              <w:rPr>
                <w:rFonts w:ascii="Times New Roman" w:hAnsi="Times New Roman" w:cs="Times New Roman"/>
                <w:sz w:val="24"/>
                <w:szCs w:val="24"/>
              </w:rPr>
              <w:t>oluşturmayacak şekilde yumuşak silikondan</w:t>
            </w:r>
            <w:r>
              <w:rPr>
                <w:rFonts w:ascii="Times New Roman" w:hAnsi="Times New Roman" w:cs="Times New Roman"/>
                <w:sz w:val="24"/>
                <w:szCs w:val="24"/>
              </w:rPr>
              <w:t xml:space="preserve"> yapılmış olmalıdır.</w:t>
            </w:r>
          </w:p>
          <w:p w:rsidR="0077128E" w:rsidRDefault="00897C9B"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Pr>
                <w:rFonts w:ascii="Times New Roman" w:hAnsi="Times New Roman" w:cs="Times New Roman"/>
                <w:sz w:val="24"/>
                <w:szCs w:val="24"/>
              </w:rPr>
              <w:t xml:space="preserve">Ürün, </w:t>
            </w:r>
            <w:r w:rsidR="00417EDD">
              <w:rPr>
                <w:rFonts w:ascii="Times New Roman" w:hAnsi="Times New Roman" w:cs="Times New Roman"/>
                <w:sz w:val="24"/>
                <w:szCs w:val="24"/>
              </w:rPr>
              <w:t>y</w:t>
            </w:r>
            <w:r w:rsidR="0077128E" w:rsidRPr="008E0A84">
              <w:rPr>
                <w:rFonts w:ascii="Times New Roman" w:hAnsi="Times New Roman" w:cs="Times New Roman"/>
                <w:sz w:val="24"/>
                <w:szCs w:val="24"/>
              </w:rPr>
              <w:t xml:space="preserve">üksek </w:t>
            </w:r>
            <w:r w:rsidR="00417EDD">
              <w:rPr>
                <w:rFonts w:ascii="Times New Roman" w:hAnsi="Times New Roman" w:cs="Times New Roman"/>
                <w:sz w:val="24"/>
                <w:szCs w:val="24"/>
              </w:rPr>
              <w:t>a</w:t>
            </w:r>
            <w:r w:rsidR="0077128E" w:rsidRPr="008E0A84">
              <w:rPr>
                <w:rFonts w:ascii="Times New Roman" w:hAnsi="Times New Roman" w:cs="Times New Roman"/>
                <w:sz w:val="24"/>
                <w:szCs w:val="24"/>
              </w:rPr>
              <w:t xml:space="preserve">kış </w:t>
            </w:r>
            <w:r w:rsidR="00417EDD">
              <w:rPr>
                <w:rFonts w:ascii="Times New Roman" w:hAnsi="Times New Roman" w:cs="Times New Roman"/>
                <w:sz w:val="24"/>
                <w:szCs w:val="24"/>
              </w:rPr>
              <w:t>o</w:t>
            </w:r>
            <w:r w:rsidR="0077128E" w:rsidRPr="008E0A84">
              <w:rPr>
                <w:rFonts w:ascii="Times New Roman" w:hAnsi="Times New Roman" w:cs="Times New Roman"/>
                <w:sz w:val="24"/>
                <w:szCs w:val="24"/>
              </w:rPr>
              <w:t xml:space="preserve">ksijen cihazında kullanılan </w:t>
            </w:r>
            <w:r w:rsidR="00417EDD">
              <w:rPr>
                <w:rFonts w:ascii="Times New Roman" w:hAnsi="Times New Roman" w:cs="Times New Roman"/>
                <w:sz w:val="24"/>
                <w:szCs w:val="24"/>
              </w:rPr>
              <w:t>y</w:t>
            </w:r>
            <w:r w:rsidR="0077128E" w:rsidRPr="008E0A84">
              <w:rPr>
                <w:rFonts w:ascii="Times New Roman" w:hAnsi="Times New Roman" w:cs="Times New Roman"/>
                <w:sz w:val="24"/>
                <w:szCs w:val="24"/>
              </w:rPr>
              <w:t xml:space="preserve">üksek </w:t>
            </w:r>
            <w:r w:rsidR="00417EDD">
              <w:rPr>
                <w:rFonts w:ascii="Times New Roman" w:hAnsi="Times New Roman" w:cs="Times New Roman"/>
                <w:sz w:val="24"/>
                <w:szCs w:val="24"/>
              </w:rPr>
              <w:t>a</w:t>
            </w:r>
            <w:r w:rsidR="0077128E" w:rsidRPr="008E0A84">
              <w:rPr>
                <w:rFonts w:ascii="Times New Roman" w:hAnsi="Times New Roman" w:cs="Times New Roman"/>
                <w:sz w:val="24"/>
                <w:szCs w:val="24"/>
              </w:rPr>
              <w:t xml:space="preserve">kış </w:t>
            </w:r>
            <w:r w:rsidR="00417EDD">
              <w:rPr>
                <w:rFonts w:ascii="Times New Roman" w:hAnsi="Times New Roman" w:cs="Times New Roman"/>
                <w:sz w:val="24"/>
                <w:szCs w:val="24"/>
              </w:rPr>
              <w:t>h</w:t>
            </w:r>
            <w:r w:rsidR="0077128E" w:rsidRPr="008E0A84">
              <w:rPr>
                <w:rFonts w:ascii="Times New Roman" w:hAnsi="Times New Roman" w:cs="Times New Roman"/>
                <w:sz w:val="24"/>
                <w:szCs w:val="24"/>
              </w:rPr>
              <w:t xml:space="preserve">asta </w:t>
            </w:r>
            <w:r w:rsidR="00417EDD">
              <w:rPr>
                <w:rFonts w:ascii="Times New Roman" w:hAnsi="Times New Roman" w:cs="Times New Roman"/>
                <w:sz w:val="24"/>
                <w:szCs w:val="24"/>
              </w:rPr>
              <w:t>d</w:t>
            </w:r>
            <w:r w:rsidR="0077128E" w:rsidRPr="008E0A84">
              <w:rPr>
                <w:rFonts w:ascii="Times New Roman" w:hAnsi="Times New Roman" w:cs="Times New Roman"/>
                <w:sz w:val="24"/>
                <w:szCs w:val="24"/>
              </w:rPr>
              <w:t>evreleri ile başkaca bir a</w:t>
            </w:r>
            <w:r w:rsidR="0077128E">
              <w:rPr>
                <w:rFonts w:ascii="Times New Roman" w:hAnsi="Times New Roman" w:cs="Times New Roman"/>
                <w:sz w:val="24"/>
                <w:szCs w:val="24"/>
              </w:rPr>
              <w:t>d</w:t>
            </w:r>
            <w:r w:rsidR="0077128E" w:rsidRPr="008E0A84">
              <w:rPr>
                <w:rFonts w:ascii="Times New Roman" w:hAnsi="Times New Roman" w:cs="Times New Roman"/>
                <w:sz w:val="24"/>
                <w:szCs w:val="24"/>
              </w:rPr>
              <w:t>aptöre ihtiyaç duyulmadan kullanılabilmelidir.</w:t>
            </w:r>
          </w:p>
          <w:p w:rsidR="00FF5B68" w:rsidRPr="00FF5B68" w:rsidRDefault="00897C9B"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Pr>
                <w:rFonts w:ascii="Times New Roman" w:hAnsi="Times New Roman" w:cs="Times New Roman"/>
                <w:sz w:val="24"/>
                <w:szCs w:val="24"/>
              </w:rPr>
              <w:t xml:space="preserve">Ürün </w:t>
            </w:r>
            <w:r w:rsidR="00A9532B" w:rsidRPr="008E0A84">
              <w:rPr>
                <w:rFonts w:ascii="Times New Roman" w:hAnsi="Times New Roman" w:cs="Times New Roman"/>
                <w:sz w:val="24"/>
                <w:szCs w:val="24"/>
              </w:rPr>
              <w:t xml:space="preserve">uzun süreli kullanımlarda </w:t>
            </w:r>
            <w:r w:rsidR="00A9532B">
              <w:rPr>
                <w:rFonts w:ascii="Times New Roman" w:hAnsi="Times New Roman" w:cs="Times New Roman"/>
                <w:sz w:val="24"/>
                <w:szCs w:val="24"/>
              </w:rPr>
              <w:t xml:space="preserve">hastayı rahatsız etmeyecek şekilde </w:t>
            </w:r>
            <w:r w:rsidR="00FF5B68" w:rsidRPr="008E0A84">
              <w:rPr>
                <w:rFonts w:ascii="Times New Roman" w:hAnsi="Times New Roman" w:cs="Times New Roman"/>
                <w:sz w:val="24"/>
                <w:szCs w:val="24"/>
              </w:rPr>
              <w:t>hafif ve konforlu olmalıdır.</w:t>
            </w:r>
          </w:p>
          <w:p w:rsidR="0077128E" w:rsidRPr="008E0A84" w:rsidRDefault="000A5AF3"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Pr>
                <w:rFonts w:ascii="Times New Roman" w:hAnsi="Times New Roman" w:cs="Times New Roman"/>
                <w:sz w:val="24"/>
                <w:szCs w:val="24"/>
              </w:rPr>
              <w:t xml:space="preserve">Ürün </w:t>
            </w:r>
            <w:r w:rsidR="0077128E" w:rsidRPr="0077128E">
              <w:rPr>
                <w:rFonts w:ascii="Times New Roman" w:hAnsi="Times New Roman" w:cs="Times New Roman"/>
                <w:sz w:val="24"/>
                <w:szCs w:val="24"/>
              </w:rPr>
              <w:t xml:space="preserve">yetişkin </w:t>
            </w:r>
            <w:r w:rsidR="0077128E" w:rsidRPr="008E0A84">
              <w:rPr>
                <w:rFonts w:ascii="Times New Roman" w:hAnsi="Times New Roman" w:cs="Times New Roman"/>
                <w:sz w:val="24"/>
                <w:szCs w:val="24"/>
              </w:rPr>
              <w:t>hastanın yüzündeki sabitliğin koruması için konforlu bir kafa bandına ve tespit klipsine sahip olmalıdır.</w:t>
            </w:r>
          </w:p>
          <w:p w:rsidR="00195FEB" w:rsidRPr="0077128E" w:rsidRDefault="0077128E" w:rsidP="00FF5B68">
            <w:pPr>
              <w:pStyle w:val="ListeParagraf"/>
              <w:numPr>
                <w:ilvl w:val="0"/>
                <w:numId w:val="7"/>
              </w:numPr>
              <w:spacing w:before="120" w:after="120" w:line="360" w:lineRule="auto"/>
              <w:ind w:right="436" w:hanging="357"/>
              <w:jc w:val="both"/>
              <w:rPr>
                <w:rFonts w:ascii="Times New Roman" w:hAnsi="Times New Roman" w:cs="Times New Roman"/>
                <w:sz w:val="24"/>
                <w:szCs w:val="24"/>
              </w:rPr>
            </w:pPr>
            <w:r w:rsidRPr="0077128E">
              <w:rPr>
                <w:rFonts w:ascii="Times New Roman" w:hAnsi="Times New Roman" w:cs="Times New Roman"/>
                <w:sz w:val="24"/>
                <w:szCs w:val="24"/>
              </w:rPr>
              <w:t>Pediatrikkanüller hastaya bağlantı için hidrocolloid</w:t>
            </w:r>
            <w:r w:rsidR="0020584A">
              <w:rPr>
                <w:rFonts w:ascii="Times New Roman" w:hAnsi="Times New Roman" w:cs="Times New Roman"/>
                <w:sz w:val="24"/>
                <w:szCs w:val="24"/>
              </w:rPr>
              <w:t xml:space="preserve">bant </w:t>
            </w:r>
            <w:r w:rsidRPr="0077128E">
              <w:rPr>
                <w:rFonts w:ascii="Times New Roman" w:hAnsi="Times New Roman" w:cs="Times New Roman"/>
                <w:sz w:val="24"/>
                <w:szCs w:val="24"/>
              </w:rPr>
              <w:t>sistemi</w:t>
            </w:r>
            <w:r w:rsidR="0020584A">
              <w:rPr>
                <w:rFonts w:ascii="Times New Roman" w:hAnsi="Times New Roman" w:cs="Times New Roman"/>
                <w:sz w:val="24"/>
                <w:szCs w:val="24"/>
              </w:rPr>
              <w:t xml:space="preserve"> veya </w:t>
            </w:r>
            <w:r w:rsidR="0020584A" w:rsidRPr="00BE6BC5">
              <w:rPr>
                <w:rFonts w:ascii="Times New Roman" w:hAnsi="Times New Roman" w:cs="Times New Roman"/>
                <w:sz w:val="24"/>
                <w:szCs w:val="24"/>
              </w:rPr>
              <w:t>anti alerjik silikon bant</w:t>
            </w:r>
            <w:r w:rsidRPr="0077128E">
              <w:rPr>
                <w:rFonts w:ascii="Times New Roman" w:hAnsi="Times New Roman" w:cs="Times New Roman"/>
                <w:sz w:val="24"/>
                <w:szCs w:val="24"/>
              </w:rPr>
              <w:t xml:space="preserve"> içermeli, sabitleme sadece yanak kısımlarında olmalı ve kanülün alt kısmı cırtcırt veya yapışkan sistemli olmalıdır. Bu sayede septumda oluşabilecek yaralanmalar ortadan kaldırılabilmeli ve yan yatma pozisyonunda prongların burundan çıkması önlenerek, tedaviyi aksatabilecek unsurlara engel olunmalıdır.</w:t>
            </w:r>
          </w:p>
        </w:tc>
      </w:tr>
      <w:tr w:rsidR="004B7494" w:rsidTr="008311EC">
        <w:trPr>
          <w:trHeight w:val="1025"/>
        </w:trPr>
        <w:tc>
          <w:tcPr>
            <w:tcW w:w="1537" w:type="dxa"/>
          </w:tcPr>
          <w:p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tc>
        <w:tc>
          <w:tcPr>
            <w:tcW w:w="8303" w:type="dxa"/>
            <w:shd w:val="clear" w:color="auto" w:fill="auto"/>
          </w:tcPr>
          <w:p w:rsidR="00195FEB" w:rsidRDefault="0077128E" w:rsidP="00FF5B68">
            <w:pPr>
              <w:pStyle w:val="ListeParagraf"/>
              <w:numPr>
                <w:ilvl w:val="0"/>
                <w:numId w:val="7"/>
              </w:numPr>
              <w:spacing w:before="120" w:after="120" w:line="360" w:lineRule="auto"/>
              <w:ind w:right="436"/>
              <w:jc w:val="both"/>
              <w:rPr>
                <w:rFonts w:ascii="Times New Roman" w:hAnsi="Times New Roman" w:cs="Times New Roman"/>
                <w:sz w:val="24"/>
                <w:szCs w:val="24"/>
              </w:rPr>
            </w:pPr>
            <w:r w:rsidRPr="008E0A84">
              <w:rPr>
                <w:rFonts w:ascii="Times New Roman" w:hAnsi="Times New Roman" w:cs="Times New Roman"/>
                <w:sz w:val="24"/>
                <w:szCs w:val="24"/>
              </w:rPr>
              <w:t xml:space="preserve">Teslim edilen her 75 adet </w:t>
            </w:r>
            <w:r w:rsidR="00417EDD">
              <w:rPr>
                <w:rFonts w:ascii="Times New Roman" w:hAnsi="Times New Roman" w:cs="Times New Roman"/>
                <w:sz w:val="24"/>
                <w:szCs w:val="24"/>
              </w:rPr>
              <w:t>y</w:t>
            </w:r>
            <w:r w:rsidRPr="008E0A84">
              <w:rPr>
                <w:rFonts w:ascii="Times New Roman" w:hAnsi="Times New Roman" w:cs="Times New Roman"/>
                <w:sz w:val="24"/>
                <w:szCs w:val="24"/>
              </w:rPr>
              <w:t xml:space="preserve">üksek </w:t>
            </w:r>
            <w:r w:rsidR="00417EDD">
              <w:rPr>
                <w:rFonts w:ascii="Times New Roman" w:hAnsi="Times New Roman" w:cs="Times New Roman"/>
                <w:sz w:val="24"/>
                <w:szCs w:val="24"/>
              </w:rPr>
              <w:t>a</w:t>
            </w:r>
            <w:r w:rsidRPr="008E0A84">
              <w:rPr>
                <w:rFonts w:ascii="Times New Roman" w:hAnsi="Times New Roman" w:cs="Times New Roman"/>
                <w:sz w:val="24"/>
                <w:szCs w:val="24"/>
              </w:rPr>
              <w:t xml:space="preserve">kış </w:t>
            </w:r>
            <w:r w:rsidR="00417EDD">
              <w:rPr>
                <w:rFonts w:ascii="Times New Roman" w:hAnsi="Times New Roman" w:cs="Times New Roman"/>
                <w:sz w:val="24"/>
                <w:szCs w:val="24"/>
              </w:rPr>
              <w:t>n</w:t>
            </w:r>
            <w:r w:rsidRPr="008E0A84">
              <w:rPr>
                <w:rFonts w:ascii="Times New Roman" w:hAnsi="Times New Roman" w:cs="Times New Roman"/>
                <w:sz w:val="24"/>
                <w:szCs w:val="24"/>
              </w:rPr>
              <w:t xml:space="preserve">azal </w:t>
            </w:r>
            <w:r w:rsidR="00417EDD">
              <w:rPr>
                <w:rFonts w:ascii="Times New Roman" w:hAnsi="Times New Roman" w:cs="Times New Roman"/>
                <w:sz w:val="24"/>
                <w:szCs w:val="24"/>
              </w:rPr>
              <w:t>k</w:t>
            </w:r>
            <w:r w:rsidRPr="008E0A84">
              <w:rPr>
                <w:rFonts w:ascii="Times New Roman" w:hAnsi="Times New Roman" w:cs="Times New Roman"/>
                <w:sz w:val="24"/>
                <w:szCs w:val="24"/>
              </w:rPr>
              <w:t xml:space="preserve">anül ve </w:t>
            </w:r>
            <w:r w:rsidR="00417EDD">
              <w:rPr>
                <w:rFonts w:ascii="Times New Roman" w:hAnsi="Times New Roman" w:cs="Times New Roman"/>
                <w:sz w:val="24"/>
                <w:szCs w:val="24"/>
              </w:rPr>
              <w:t>y</w:t>
            </w:r>
            <w:r w:rsidRPr="008E0A84">
              <w:rPr>
                <w:rFonts w:ascii="Times New Roman" w:hAnsi="Times New Roman" w:cs="Times New Roman"/>
                <w:sz w:val="24"/>
                <w:szCs w:val="24"/>
              </w:rPr>
              <w:t xml:space="preserve">üksek </w:t>
            </w:r>
            <w:r w:rsidR="00417EDD">
              <w:rPr>
                <w:rFonts w:ascii="Times New Roman" w:hAnsi="Times New Roman" w:cs="Times New Roman"/>
                <w:sz w:val="24"/>
                <w:szCs w:val="24"/>
              </w:rPr>
              <w:t>a</w:t>
            </w:r>
            <w:r w:rsidRPr="008E0A84">
              <w:rPr>
                <w:rFonts w:ascii="Times New Roman" w:hAnsi="Times New Roman" w:cs="Times New Roman"/>
                <w:sz w:val="24"/>
                <w:szCs w:val="24"/>
              </w:rPr>
              <w:t xml:space="preserve">kış </w:t>
            </w:r>
            <w:r w:rsidR="00417EDD">
              <w:rPr>
                <w:rFonts w:ascii="Times New Roman" w:hAnsi="Times New Roman" w:cs="Times New Roman"/>
                <w:sz w:val="24"/>
                <w:szCs w:val="24"/>
              </w:rPr>
              <w:t>h</w:t>
            </w:r>
            <w:r w:rsidRPr="008E0A84">
              <w:rPr>
                <w:rFonts w:ascii="Times New Roman" w:hAnsi="Times New Roman" w:cs="Times New Roman"/>
                <w:sz w:val="24"/>
                <w:szCs w:val="24"/>
              </w:rPr>
              <w:t xml:space="preserve">ortum </w:t>
            </w:r>
            <w:r w:rsidR="00417EDD">
              <w:rPr>
                <w:rFonts w:ascii="Times New Roman" w:hAnsi="Times New Roman" w:cs="Times New Roman"/>
                <w:sz w:val="24"/>
                <w:szCs w:val="24"/>
              </w:rPr>
              <w:t>s</w:t>
            </w:r>
            <w:r w:rsidRPr="008E0A84">
              <w:rPr>
                <w:rFonts w:ascii="Times New Roman" w:hAnsi="Times New Roman" w:cs="Times New Roman"/>
                <w:sz w:val="24"/>
                <w:szCs w:val="24"/>
              </w:rPr>
              <w:t xml:space="preserve">eti ile birlikte </w:t>
            </w:r>
            <w:r>
              <w:rPr>
                <w:rFonts w:ascii="Times New Roman" w:hAnsi="Times New Roman" w:cs="Times New Roman"/>
                <w:sz w:val="24"/>
                <w:szCs w:val="24"/>
              </w:rPr>
              <w:t xml:space="preserve">SMG1001 (nazal yüksek akış devresi ve kanülü, yüksek akış nazal oksijen terapi cihazı) teknik şartname grup kodunda teknik özellikleri tanımlanan </w:t>
            </w:r>
            <w:r w:rsidRPr="008E0A84">
              <w:rPr>
                <w:rFonts w:ascii="Times New Roman" w:hAnsi="Times New Roman" w:cs="Times New Roman"/>
                <w:sz w:val="24"/>
                <w:szCs w:val="24"/>
              </w:rPr>
              <w:t>1 adet</w:t>
            </w:r>
            <w:r>
              <w:rPr>
                <w:rFonts w:ascii="Times New Roman" w:hAnsi="Times New Roman" w:cs="Times New Roman"/>
                <w:sz w:val="24"/>
                <w:szCs w:val="24"/>
              </w:rPr>
              <w:t xml:space="preserve"> yüksek akış oksijen terapi cihazı,</w:t>
            </w:r>
            <w:r w:rsidRPr="008E0A84">
              <w:rPr>
                <w:rFonts w:ascii="Times New Roman" w:hAnsi="Times New Roman" w:cs="Times New Roman"/>
                <w:sz w:val="24"/>
                <w:szCs w:val="24"/>
              </w:rPr>
              <w:t xml:space="preserve"> geçici kullanma amaçlı hastaneye teslim edilecektir. </w:t>
            </w:r>
          </w:p>
          <w:p w:rsidR="007D66CB" w:rsidRPr="00ED4607" w:rsidRDefault="007D66CB" w:rsidP="007D66CB">
            <w:pPr>
              <w:pStyle w:val="ListeParagraf"/>
              <w:numPr>
                <w:ilvl w:val="0"/>
                <w:numId w:val="7"/>
              </w:numPr>
              <w:tabs>
                <w:tab w:val="left" w:pos="1427"/>
              </w:tabs>
              <w:spacing w:before="120" w:after="120" w:line="360" w:lineRule="auto"/>
              <w:ind w:right="294"/>
              <w:jc w:val="both"/>
              <w:rPr>
                <w:rFonts w:ascii="Times New Roman" w:hAnsi="Times New Roman" w:cs="Times New Roman"/>
                <w:sz w:val="24"/>
                <w:szCs w:val="24"/>
              </w:rPr>
            </w:pPr>
            <w:r w:rsidRPr="00A265F3">
              <w:rPr>
                <w:rFonts w:ascii="Times New Roman" w:hAnsi="Times New Roman" w:cs="Times New Roman"/>
                <w:sz w:val="24"/>
                <w:szCs w:val="24"/>
              </w:rPr>
              <w:t>Ürünler steril</w:t>
            </w:r>
            <w:r w:rsidRPr="00ED4607">
              <w:rPr>
                <w:rFonts w:ascii="Times New Roman" w:hAnsi="Times New Roman" w:cs="Times New Roman"/>
                <w:sz w:val="24"/>
                <w:szCs w:val="24"/>
              </w:rPr>
              <w:t xml:space="preserve"> veya temiz oda şartlarında üretilmiş olmalı</w:t>
            </w:r>
            <w:r w:rsidR="00ED4607" w:rsidRPr="00A265F3">
              <w:rPr>
                <w:rFonts w:ascii="Times New Roman" w:hAnsi="Times New Roman" w:cs="Times New Roman"/>
                <w:sz w:val="24"/>
                <w:szCs w:val="24"/>
              </w:rPr>
              <w:t>ve tek</w:t>
            </w:r>
            <w:r w:rsidRPr="00A265F3">
              <w:rPr>
                <w:rFonts w:ascii="Times New Roman" w:hAnsi="Times New Roman" w:cs="Times New Roman"/>
                <w:sz w:val="24"/>
                <w:szCs w:val="24"/>
              </w:rPr>
              <w:t xml:space="preserve"> kullanımlık olmalıdır.</w:t>
            </w:r>
          </w:p>
          <w:p w:rsidR="00FF5B68" w:rsidRPr="00FF5B68" w:rsidRDefault="00FF5B68" w:rsidP="00FF5B68">
            <w:pPr>
              <w:pStyle w:val="ListeParagraf"/>
              <w:numPr>
                <w:ilvl w:val="0"/>
                <w:numId w:val="7"/>
              </w:numPr>
              <w:spacing w:before="120" w:after="120" w:line="360" w:lineRule="auto"/>
              <w:ind w:right="153"/>
              <w:jc w:val="both"/>
              <w:rPr>
                <w:rFonts w:ascii="Times New Roman" w:eastAsia="Times New Roman" w:hAnsi="Times New Roman" w:cs="Times New Roman"/>
                <w:sz w:val="24"/>
                <w:szCs w:val="24"/>
                <w:lang w:eastAsia="tr-TR"/>
              </w:rPr>
            </w:pPr>
            <w:r w:rsidRPr="00D24064">
              <w:rPr>
                <w:rFonts w:ascii="Times New Roman" w:hAnsi="Times New Roman" w:cs="Times New Roman"/>
                <w:sz w:val="24"/>
                <w:szCs w:val="24"/>
              </w:rPr>
              <w:t>Ürün ambalajı üzerinde son kullanma tarihi, UBB ve LOT bilgisi bulunmalıdır</w:t>
            </w:r>
            <w:r>
              <w:rPr>
                <w:rFonts w:ascii="Times New Roman" w:eastAsia="Times New Roman" w:hAnsi="Times New Roman" w:cs="Times New Roman"/>
                <w:sz w:val="24"/>
                <w:szCs w:val="24"/>
                <w:lang w:eastAsia="tr-TR"/>
              </w:rPr>
              <w:t>.</w:t>
            </w:r>
          </w:p>
        </w:tc>
      </w:tr>
    </w:tbl>
    <w:p w:rsidR="00331203" w:rsidRPr="00936492" w:rsidRDefault="00331203" w:rsidP="008311EC">
      <w:pPr>
        <w:pStyle w:val="ListeParagraf"/>
        <w:spacing w:before="120" w:after="120" w:line="360" w:lineRule="auto"/>
        <w:jc w:val="both"/>
        <w:rPr>
          <w:rFonts w:ascii="Times New Roman" w:hAnsi="Times New Roman" w:cs="Times New Roman"/>
          <w:sz w:val="24"/>
          <w:szCs w:val="24"/>
        </w:rPr>
      </w:pPr>
    </w:p>
    <w:sectPr w:rsidR="00331203" w:rsidRPr="00936492" w:rsidSect="00DA16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22F" w:rsidRDefault="008A322F" w:rsidP="00B2517C">
      <w:pPr>
        <w:spacing w:after="0" w:line="240" w:lineRule="auto"/>
      </w:pPr>
      <w:r>
        <w:separator/>
      </w:r>
    </w:p>
  </w:endnote>
  <w:endnote w:type="continuationSeparator" w:id="1">
    <w:p w:rsidR="008A322F" w:rsidRDefault="008A322F" w:rsidP="00B25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8A" w:rsidRDefault="00201D8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8A" w:rsidRDefault="00201D8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8A" w:rsidRDefault="00201D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22F" w:rsidRDefault="008A322F" w:rsidP="00B2517C">
      <w:pPr>
        <w:spacing w:after="0" w:line="240" w:lineRule="auto"/>
      </w:pPr>
      <w:r>
        <w:separator/>
      </w:r>
    </w:p>
  </w:footnote>
  <w:footnote w:type="continuationSeparator" w:id="1">
    <w:p w:rsidR="008A322F" w:rsidRDefault="008A322F" w:rsidP="00B25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8A" w:rsidRDefault="00201D8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7C" w:rsidRPr="00560EE2" w:rsidRDefault="005C474B" w:rsidP="005C474B">
    <w:pPr>
      <w:spacing w:before="120" w:after="120" w:line="360" w:lineRule="auto"/>
      <w:ind w:firstLine="357"/>
      <w:contextualSpacing/>
      <w:rPr>
        <w:rFonts w:ascii="Times New Roman" w:hAnsi="Times New Roman" w:cs="Times New Roman"/>
        <w:b/>
        <w:sz w:val="24"/>
        <w:szCs w:val="24"/>
      </w:rPr>
    </w:pPr>
    <w:r w:rsidRPr="00560EE2">
      <w:rPr>
        <w:rFonts w:ascii="Times New Roman" w:hAnsi="Times New Roman" w:cs="Times New Roman"/>
        <w:b/>
        <w:sz w:val="24"/>
        <w:szCs w:val="24"/>
      </w:rPr>
      <w:t>SMT</w:t>
    </w:r>
    <w:r w:rsidR="0077128E" w:rsidRPr="00560EE2">
      <w:rPr>
        <w:rFonts w:ascii="Times New Roman" w:hAnsi="Times New Roman" w:cs="Times New Roman"/>
        <w:b/>
        <w:sz w:val="24"/>
        <w:szCs w:val="24"/>
      </w:rPr>
      <w:t xml:space="preserve">4137NAZAL YÜKSEK AKIŞ KANÜLÜ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8A" w:rsidRDefault="00201D8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1FF13F7"/>
    <w:multiLevelType w:val="multilevel"/>
    <w:tmpl w:val="08CE16F2"/>
    <w:lvl w:ilvl="0">
      <w:start w:val="1"/>
      <w:numFmt w:val="decimal"/>
      <w:lvlText w:val="%1."/>
      <w:lvlJc w:val="left"/>
      <w:pPr>
        <w:ind w:left="644" w:hanging="360"/>
      </w:pPr>
      <w:rPr>
        <w:rFonts w:hint="default"/>
        <w:b/>
      </w:rPr>
    </w:lvl>
    <w:lvl w:ilvl="1">
      <w:start w:val="1"/>
      <w:numFmt w:val="decimal"/>
      <w:isLgl/>
      <w:lvlText w:val="%1.%2."/>
      <w:lvlJc w:val="left"/>
      <w:pPr>
        <w:ind w:left="1364" w:hanging="360"/>
      </w:pPr>
      <w:rPr>
        <w:rFonts w:hint="default"/>
        <w:b/>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4"/>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0594E"/>
    <w:rsid w:val="00050F07"/>
    <w:rsid w:val="00076A45"/>
    <w:rsid w:val="00092F7D"/>
    <w:rsid w:val="000A5AF3"/>
    <w:rsid w:val="000D04A5"/>
    <w:rsid w:val="00104579"/>
    <w:rsid w:val="00194192"/>
    <w:rsid w:val="00195FEB"/>
    <w:rsid w:val="001E3B99"/>
    <w:rsid w:val="00201D8A"/>
    <w:rsid w:val="0020584A"/>
    <w:rsid w:val="002618E3"/>
    <w:rsid w:val="002B66F4"/>
    <w:rsid w:val="002E6018"/>
    <w:rsid w:val="00331203"/>
    <w:rsid w:val="003A281D"/>
    <w:rsid w:val="0041789C"/>
    <w:rsid w:val="00417EDD"/>
    <w:rsid w:val="004B7494"/>
    <w:rsid w:val="00504A91"/>
    <w:rsid w:val="00560EE2"/>
    <w:rsid w:val="005C0D2F"/>
    <w:rsid w:val="005C474B"/>
    <w:rsid w:val="005F1EC3"/>
    <w:rsid w:val="0060330E"/>
    <w:rsid w:val="00655533"/>
    <w:rsid w:val="00723494"/>
    <w:rsid w:val="00747A9B"/>
    <w:rsid w:val="0077128E"/>
    <w:rsid w:val="0079522F"/>
    <w:rsid w:val="007D66CB"/>
    <w:rsid w:val="00802EC5"/>
    <w:rsid w:val="00830AF8"/>
    <w:rsid w:val="008311EC"/>
    <w:rsid w:val="00897C9B"/>
    <w:rsid w:val="008A322F"/>
    <w:rsid w:val="00936492"/>
    <w:rsid w:val="00A0594E"/>
    <w:rsid w:val="00A469BB"/>
    <w:rsid w:val="00A76582"/>
    <w:rsid w:val="00A9532B"/>
    <w:rsid w:val="00B2517C"/>
    <w:rsid w:val="00BA3150"/>
    <w:rsid w:val="00BC39BB"/>
    <w:rsid w:val="00BD6076"/>
    <w:rsid w:val="00BE6BC5"/>
    <w:rsid w:val="00BF4EE4"/>
    <w:rsid w:val="00BF5AAE"/>
    <w:rsid w:val="00C108EE"/>
    <w:rsid w:val="00C53468"/>
    <w:rsid w:val="00D21078"/>
    <w:rsid w:val="00D86C62"/>
    <w:rsid w:val="00DA1622"/>
    <w:rsid w:val="00DB112B"/>
    <w:rsid w:val="00DE3FAB"/>
    <w:rsid w:val="00E01EFC"/>
    <w:rsid w:val="00E4669E"/>
    <w:rsid w:val="00ED3775"/>
    <w:rsid w:val="00ED4607"/>
    <w:rsid w:val="00F654EE"/>
    <w:rsid w:val="00FF5B6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62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17C"/>
  </w:style>
</w:styles>
</file>

<file path=word/webSettings.xml><?xml version="1.0" encoding="utf-8"?>
<w:webSettings xmlns:r="http://schemas.openxmlformats.org/officeDocument/2006/relationships" xmlns:w="http://schemas.openxmlformats.org/wordprocessingml/2006/main">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6069-8DE7-4329-8C75-E189BC6E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2023-10-31T12:01:00Z</dcterms:created>
  <dcterms:modified xsi:type="dcterms:W3CDTF">2023-10-31T12:01:00Z</dcterms:modified>
</cp:coreProperties>
</file>