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3C1A6932" w14:textId="0027DF37" w:rsidR="000C5200" w:rsidRPr="0083058D" w:rsidRDefault="000C5200"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 xml:space="preserve">Kan damarlarında geniş </w:t>
            </w:r>
            <w:proofErr w:type="spellStart"/>
            <w:r w:rsidRPr="0083058D">
              <w:rPr>
                <w:rFonts w:ascii="Times New Roman" w:hAnsi="Times New Roman" w:cs="Times New Roman"/>
                <w:sz w:val="24"/>
                <w:szCs w:val="24"/>
              </w:rPr>
              <w:t>lümenli</w:t>
            </w:r>
            <w:proofErr w:type="spellEnd"/>
            <w:r w:rsidRPr="0083058D">
              <w:rPr>
                <w:rFonts w:ascii="Times New Roman" w:hAnsi="Times New Roman" w:cs="Times New Roman"/>
                <w:sz w:val="24"/>
                <w:szCs w:val="24"/>
              </w:rPr>
              <w:t xml:space="preserve"> iğnelerle (özellikle hemodiyaliz) yapılan işlemler sonrasında </w:t>
            </w:r>
            <w:r w:rsidR="0083058D" w:rsidRPr="0083058D">
              <w:rPr>
                <w:rFonts w:ascii="Times New Roman" w:hAnsi="Times New Roman" w:cs="Times New Roman"/>
                <w:sz w:val="24"/>
                <w:szCs w:val="24"/>
              </w:rPr>
              <w:t>oluşan kanamayı</w:t>
            </w:r>
            <w:r w:rsidRPr="0083058D">
              <w:rPr>
                <w:rFonts w:ascii="Times New Roman" w:hAnsi="Times New Roman" w:cs="Times New Roman"/>
                <w:sz w:val="24"/>
                <w:szCs w:val="24"/>
              </w:rPr>
              <w:t xml:space="preserve"> girişim yerine direkt basınç uygulayarak kontrol altına almak ve </w:t>
            </w:r>
            <w:proofErr w:type="spellStart"/>
            <w:r w:rsidRPr="0083058D">
              <w:rPr>
                <w:rFonts w:ascii="Times New Roman" w:hAnsi="Times New Roman" w:cs="Times New Roman"/>
                <w:sz w:val="24"/>
                <w:szCs w:val="24"/>
              </w:rPr>
              <w:t>hemostaz</w:t>
            </w:r>
            <w:proofErr w:type="spellEnd"/>
            <w:r w:rsidRPr="0083058D">
              <w:rPr>
                <w:rFonts w:ascii="Times New Roman" w:hAnsi="Times New Roman" w:cs="Times New Roman"/>
                <w:sz w:val="24"/>
                <w:szCs w:val="24"/>
              </w:rPr>
              <w:t xml:space="preserve"> oluşumunu engellemek için tasarlanmış olmalıdır.</w:t>
            </w:r>
          </w:p>
          <w:p w14:paraId="0699DBCB" w14:textId="07E3755F" w:rsidR="004B7494" w:rsidRPr="002B5CB2" w:rsidRDefault="004B7494" w:rsidP="0083058D">
            <w:pPr>
              <w:pStyle w:val="ListeParagraf"/>
              <w:spacing w:before="120" w:after="120" w:line="360" w:lineRule="auto"/>
              <w:ind w:left="360"/>
              <w:rPr>
                <w:rFonts w:ascii="Times New Roman" w:hAnsi="Times New Roman" w:cs="Times New Roman"/>
                <w:sz w:val="24"/>
                <w:szCs w:val="24"/>
              </w:rPr>
            </w:pPr>
          </w:p>
        </w:tc>
      </w:tr>
      <w:tr w:rsidR="004B7494" w14:paraId="48B12155" w14:textId="77777777" w:rsidTr="004B7494">
        <w:trPr>
          <w:trHeight w:val="1640"/>
        </w:trPr>
        <w:tc>
          <w:tcPr>
            <w:tcW w:w="1537" w:type="dxa"/>
          </w:tcPr>
          <w:p w14:paraId="0A8AD5BF"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2C8C9AD" w14:textId="12855818" w:rsidR="004B7494" w:rsidRDefault="00E51DCF"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Kulla</w:t>
            </w:r>
            <w:r>
              <w:rPr>
                <w:rFonts w:ascii="Times New Roman" w:hAnsi="Times New Roman" w:cs="Times New Roman"/>
                <w:sz w:val="24"/>
                <w:szCs w:val="24"/>
              </w:rPr>
              <w:t xml:space="preserve">nıma </w:t>
            </w:r>
            <w:r w:rsidRPr="0083058D">
              <w:rPr>
                <w:rFonts w:ascii="Times New Roman" w:hAnsi="Times New Roman" w:cs="Times New Roman"/>
                <w:sz w:val="24"/>
                <w:szCs w:val="24"/>
              </w:rPr>
              <w:t>uygun</w:t>
            </w:r>
            <w:r w:rsidR="000C5200" w:rsidRPr="0083058D">
              <w:rPr>
                <w:rFonts w:ascii="Times New Roman" w:hAnsi="Times New Roman" w:cs="Times New Roman"/>
                <w:sz w:val="24"/>
                <w:szCs w:val="24"/>
              </w:rPr>
              <w:t xml:space="preserve"> boy </w:t>
            </w:r>
            <w:r w:rsidR="009B6631" w:rsidRPr="0083058D">
              <w:rPr>
                <w:rFonts w:ascii="Times New Roman" w:hAnsi="Times New Roman" w:cs="Times New Roman"/>
                <w:sz w:val="24"/>
                <w:szCs w:val="24"/>
              </w:rPr>
              <w:t>seçenekleri</w:t>
            </w:r>
            <w:r w:rsidR="000C5200" w:rsidRPr="0083058D">
              <w:rPr>
                <w:rFonts w:ascii="Times New Roman" w:hAnsi="Times New Roman" w:cs="Times New Roman"/>
                <w:sz w:val="24"/>
                <w:szCs w:val="24"/>
              </w:rPr>
              <w:t xml:space="preserve"> </w:t>
            </w:r>
            <w:r w:rsidR="009B6631" w:rsidRPr="0083058D">
              <w:rPr>
                <w:rFonts w:ascii="Times New Roman" w:hAnsi="Times New Roman" w:cs="Times New Roman"/>
                <w:sz w:val="24"/>
                <w:szCs w:val="24"/>
              </w:rPr>
              <w:t xml:space="preserve">olmalıdır. </w:t>
            </w:r>
            <w:r w:rsidR="002B5CB2" w:rsidRPr="0083058D">
              <w:rPr>
                <w:rFonts w:ascii="Times New Roman" w:hAnsi="Times New Roman" w:cs="Times New Roman"/>
                <w:sz w:val="24"/>
                <w:szCs w:val="24"/>
              </w:rPr>
              <w:t>39*80</w:t>
            </w:r>
            <w:r>
              <w:rPr>
                <w:rFonts w:ascii="Times New Roman" w:hAnsi="Times New Roman" w:cs="Times New Roman"/>
                <w:sz w:val="24"/>
                <w:szCs w:val="24"/>
              </w:rPr>
              <w:t xml:space="preserve"> (±2,) mm</w:t>
            </w:r>
            <w:r w:rsidR="002B5CB2" w:rsidRPr="0083058D">
              <w:rPr>
                <w:rFonts w:ascii="Times New Roman" w:hAnsi="Times New Roman" w:cs="Times New Roman"/>
                <w:sz w:val="24"/>
                <w:szCs w:val="24"/>
              </w:rPr>
              <w:t>-36*80</w:t>
            </w:r>
            <w:r>
              <w:rPr>
                <w:rFonts w:ascii="Times New Roman" w:hAnsi="Times New Roman" w:cs="Times New Roman"/>
                <w:sz w:val="24"/>
                <w:szCs w:val="24"/>
              </w:rPr>
              <w:t>(±2)</w:t>
            </w:r>
            <w:r w:rsidR="0083058D" w:rsidRPr="0083058D">
              <w:rPr>
                <w:rFonts w:ascii="Times New Roman" w:hAnsi="Times New Roman" w:cs="Times New Roman"/>
                <w:sz w:val="24"/>
                <w:szCs w:val="24"/>
              </w:rPr>
              <w:t xml:space="preserve"> </w:t>
            </w:r>
            <w:r>
              <w:rPr>
                <w:rFonts w:ascii="Times New Roman" w:hAnsi="Times New Roman" w:cs="Times New Roman"/>
                <w:sz w:val="24"/>
                <w:szCs w:val="24"/>
              </w:rPr>
              <w:t>mm</w:t>
            </w:r>
          </w:p>
          <w:p w14:paraId="7FB89350" w14:textId="3A8AAC48" w:rsidR="00E51DCF" w:rsidRPr="0083058D" w:rsidRDefault="00952E4C" w:rsidP="00E51DCF">
            <w:pPr>
              <w:pStyle w:val="ListeParagraf"/>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v</w:t>
            </w:r>
            <w:r w:rsidR="00E51DCF">
              <w:rPr>
                <w:rFonts w:ascii="Times New Roman" w:hAnsi="Times New Roman" w:cs="Times New Roman"/>
                <w:sz w:val="24"/>
                <w:szCs w:val="24"/>
              </w:rPr>
              <w:t>b.</w:t>
            </w:r>
            <w:proofErr w:type="gramEnd"/>
          </w:p>
          <w:p w14:paraId="3A43C929" w14:textId="6257E524" w:rsidR="002B5CB2" w:rsidRDefault="0083058D"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 xml:space="preserve">Ürünün en az 6mm kalınlık </w:t>
            </w:r>
            <w:r w:rsidR="00952E4C" w:rsidRPr="0083058D">
              <w:rPr>
                <w:rFonts w:ascii="Times New Roman" w:hAnsi="Times New Roman" w:cs="Times New Roman"/>
                <w:sz w:val="24"/>
                <w:szCs w:val="24"/>
              </w:rPr>
              <w:t xml:space="preserve">ve </w:t>
            </w:r>
            <w:r w:rsidR="00952E4C">
              <w:rPr>
                <w:rFonts w:ascii="Times New Roman" w:hAnsi="Times New Roman" w:cs="Times New Roman"/>
                <w:sz w:val="24"/>
                <w:szCs w:val="24"/>
              </w:rPr>
              <w:t>25mm</w:t>
            </w:r>
            <w:r w:rsidRPr="0083058D">
              <w:rPr>
                <w:rFonts w:ascii="Times New Roman" w:hAnsi="Times New Roman" w:cs="Times New Roman"/>
                <w:sz w:val="24"/>
                <w:szCs w:val="24"/>
              </w:rPr>
              <w:t xml:space="preserve"> (±2) uzunluğunda olan </w:t>
            </w:r>
            <w:r w:rsidR="00E51DCF">
              <w:rPr>
                <w:rFonts w:ascii="Times New Roman" w:hAnsi="Times New Roman" w:cs="Times New Roman"/>
                <w:sz w:val="24"/>
                <w:szCs w:val="24"/>
              </w:rPr>
              <w:t xml:space="preserve">bir </w:t>
            </w:r>
            <w:r w:rsidRPr="0083058D">
              <w:rPr>
                <w:rFonts w:ascii="Times New Roman" w:hAnsi="Times New Roman" w:cs="Times New Roman"/>
                <w:sz w:val="24"/>
                <w:szCs w:val="24"/>
              </w:rPr>
              <w:t xml:space="preserve">selüloz </w:t>
            </w:r>
            <w:proofErr w:type="spellStart"/>
            <w:r w:rsidRPr="0083058D">
              <w:rPr>
                <w:rFonts w:ascii="Times New Roman" w:hAnsi="Times New Roman" w:cs="Times New Roman"/>
                <w:sz w:val="24"/>
                <w:szCs w:val="24"/>
              </w:rPr>
              <w:t>ped</w:t>
            </w:r>
            <w:proofErr w:type="spellEnd"/>
            <w:r w:rsidRPr="0083058D">
              <w:rPr>
                <w:rFonts w:ascii="Times New Roman" w:hAnsi="Times New Roman" w:cs="Times New Roman"/>
                <w:sz w:val="24"/>
                <w:szCs w:val="24"/>
              </w:rPr>
              <w:t xml:space="preserve"> içermelidir</w:t>
            </w:r>
            <w:r w:rsidR="00E51DCF">
              <w:rPr>
                <w:rFonts w:ascii="Times New Roman" w:hAnsi="Times New Roman" w:cs="Times New Roman"/>
                <w:sz w:val="24"/>
                <w:szCs w:val="24"/>
              </w:rPr>
              <w:t xml:space="preserve">, </w:t>
            </w:r>
            <w:r w:rsidRPr="0083058D">
              <w:rPr>
                <w:rFonts w:ascii="Times New Roman" w:hAnsi="Times New Roman" w:cs="Times New Roman"/>
                <w:sz w:val="24"/>
                <w:szCs w:val="24"/>
              </w:rPr>
              <w:t>bu sayede Kan</w:t>
            </w:r>
            <w:r w:rsidR="002B5CB2" w:rsidRPr="0083058D">
              <w:rPr>
                <w:rFonts w:ascii="Times New Roman" w:hAnsi="Times New Roman" w:cs="Times New Roman"/>
                <w:sz w:val="24"/>
                <w:szCs w:val="24"/>
              </w:rPr>
              <w:t xml:space="preserve"> emme kapasitesi yüksek</w:t>
            </w:r>
            <w:r w:rsidRPr="0083058D">
              <w:rPr>
                <w:rFonts w:ascii="Times New Roman" w:hAnsi="Times New Roman" w:cs="Times New Roman"/>
                <w:sz w:val="24"/>
                <w:szCs w:val="24"/>
              </w:rPr>
              <w:t xml:space="preserve"> olmalıdır.</w:t>
            </w:r>
            <w:r w:rsidR="001E0B27">
              <w:rPr>
                <w:rFonts w:ascii="Times New Roman" w:hAnsi="Times New Roman" w:cs="Times New Roman"/>
                <w:sz w:val="24"/>
                <w:szCs w:val="24"/>
              </w:rPr>
              <w:t xml:space="preserve"> </w:t>
            </w:r>
          </w:p>
          <w:p w14:paraId="11D8E40A" w14:textId="5663137B" w:rsidR="001E0B27" w:rsidRPr="0083058D" w:rsidRDefault="001E0B27" w:rsidP="001E0B27">
            <w:pPr>
              <w:pStyle w:val="ListeParagraf"/>
              <w:numPr>
                <w:ilvl w:val="0"/>
                <w:numId w:val="4"/>
              </w:numPr>
              <w:spacing w:before="120" w:after="120" w:line="360" w:lineRule="auto"/>
              <w:rPr>
                <w:rFonts w:ascii="Times New Roman" w:hAnsi="Times New Roman" w:cs="Times New Roman"/>
                <w:sz w:val="24"/>
                <w:szCs w:val="24"/>
              </w:rPr>
            </w:pPr>
            <w:r w:rsidRPr="001E0B27">
              <w:rPr>
                <w:rFonts w:ascii="Times New Roman" w:hAnsi="Times New Roman" w:cs="Times New Roman"/>
                <w:sz w:val="24"/>
                <w:szCs w:val="24"/>
              </w:rPr>
              <w:t>Ondalık kesirleri istenilen basamağa göre yuvarlarken önce yuvarlanacak basamağın sağındaki ilk rakama bakılır.</w:t>
            </w:r>
            <w:r>
              <w:rPr>
                <w:rFonts w:ascii="Times New Roman" w:hAnsi="Times New Roman" w:cs="Times New Roman"/>
                <w:sz w:val="24"/>
                <w:szCs w:val="24"/>
              </w:rPr>
              <w:t xml:space="preserve"> </w:t>
            </w:r>
            <w:r w:rsidRPr="001E0B27">
              <w:rPr>
                <w:rFonts w:ascii="Times New Roman" w:hAnsi="Times New Roman" w:cs="Times New Roman"/>
                <w:sz w:val="24"/>
                <w:szCs w:val="24"/>
              </w:rPr>
              <w:t>Bu rakam 5’e eşit veya 5’ten büyük ise yuvarlanacak basamaktaki rakam 1 artırılır ve bu basamağın sağındaki diğer basamaklar atılır.5’ten küçük ise yuvarlanacak basamaktaki rakam değişmez ve bu basamağın sağındaki diğer basamaklar atılır.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0097A937" w14:textId="77777777" w:rsidR="004D169A" w:rsidRPr="0083058D" w:rsidRDefault="004D169A"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 xml:space="preserve">Bandın tampon kısmında kısa sürede yüksek sıvı </w:t>
            </w:r>
            <w:proofErr w:type="spellStart"/>
            <w:r w:rsidRPr="0083058D">
              <w:rPr>
                <w:rFonts w:ascii="Times New Roman" w:hAnsi="Times New Roman" w:cs="Times New Roman"/>
                <w:sz w:val="24"/>
                <w:szCs w:val="24"/>
              </w:rPr>
              <w:t>absorbe</w:t>
            </w:r>
            <w:proofErr w:type="spellEnd"/>
            <w:r w:rsidRPr="0083058D">
              <w:rPr>
                <w:rFonts w:ascii="Times New Roman" w:hAnsi="Times New Roman" w:cs="Times New Roman"/>
                <w:sz w:val="24"/>
                <w:szCs w:val="24"/>
              </w:rPr>
              <w:t xml:space="preserve"> eden selüloz </w:t>
            </w:r>
            <w:proofErr w:type="spellStart"/>
            <w:r w:rsidRPr="0083058D">
              <w:rPr>
                <w:rFonts w:ascii="Times New Roman" w:hAnsi="Times New Roman" w:cs="Times New Roman"/>
                <w:sz w:val="24"/>
                <w:szCs w:val="24"/>
              </w:rPr>
              <w:t>ped</w:t>
            </w:r>
            <w:proofErr w:type="spellEnd"/>
            <w:r w:rsidRPr="0083058D">
              <w:rPr>
                <w:rFonts w:ascii="Times New Roman" w:hAnsi="Times New Roman" w:cs="Times New Roman"/>
                <w:sz w:val="24"/>
                <w:szCs w:val="24"/>
              </w:rPr>
              <w:t xml:space="preserve"> bulunmalıdır.</w:t>
            </w:r>
          </w:p>
          <w:p w14:paraId="554347C5" w14:textId="4BC23086" w:rsidR="004D169A" w:rsidRPr="0083058D" w:rsidRDefault="004D169A" w:rsidP="0083058D">
            <w:pPr>
              <w:pStyle w:val="ListeParagraf"/>
              <w:numPr>
                <w:ilvl w:val="0"/>
                <w:numId w:val="4"/>
              </w:numPr>
              <w:spacing w:before="120" w:after="120" w:line="360" w:lineRule="auto"/>
              <w:jc w:val="both"/>
              <w:rPr>
                <w:rFonts w:ascii="Times New Roman" w:hAnsi="Times New Roman" w:cs="Times New Roman"/>
                <w:sz w:val="24"/>
                <w:szCs w:val="24"/>
              </w:rPr>
            </w:pPr>
            <w:r w:rsidRPr="0083058D">
              <w:rPr>
                <w:rFonts w:ascii="Times New Roman" w:hAnsi="Times New Roman" w:cs="Times New Roman"/>
                <w:sz w:val="24"/>
                <w:szCs w:val="24"/>
              </w:rPr>
              <w:t xml:space="preserve">Bandın yapışkan taşıyıcı bölümü şişen tampon </w:t>
            </w:r>
            <w:proofErr w:type="spellStart"/>
            <w:r w:rsidRPr="0083058D">
              <w:rPr>
                <w:rFonts w:ascii="Times New Roman" w:hAnsi="Times New Roman" w:cs="Times New Roman"/>
                <w:sz w:val="24"/>
                <w:szCs w:val="24"/>
              </w:rPr>
              <w:t>ped</w:t>
            </w:r>
            <w:proofErr w:type="spellEnd"/>
            <w:r w:rsidRPr="0083058D">
              <w:rPr>
                <w:rFonts w:ascii="Times New Roman" w:hAnsi="Times New Roman" w:cs="Times New Roman"/>
                <w:sz w:val="24"/>
                <w:szCs w:val="24"/>
              </w:rPr>
              <w:t xml:space="preserve"> bölüme </w:t>
            </w:r>
            <w:proofErr w:type="spellStart"/>
            <w:r w:rsidRPr="0083058D">
              <w:rPr>
                <w:rFonts w:ascii="Times New Roman" w:hAnsi="Times New Roman" w:cs="Times New Roman"/>
                <w:sz w:val="24"/>
                <w:szCs w:val="24"/>
              </w:rPr>
              <w:t>hemostatik</w:t>
            </w:r>
            <w:proofErr w:type="spellEnd"/>
            <w:r w:rsidRPr="0083058D">
              <w:rPr>
                <w:rFonts w:ascii="Times New Roman" w:hAnsi="Times New Roman" w:cs="Times New Roman"/>
                <w:sz w:val="24"/>
                <w:szCs w:val="24"/>
              </w:rPr>
              <w:t xml:space="preserve"> basınç oluşturabilmeli </w:t>
            </w:r>
            <w:r w:rsidR="0083058D">
              <w:rPr>
                <w:rFonts w:ascii="Times New Roman" w:hAnsi="Times New Roman" w:cs="Times New Roman"/>
                <w:sz w:val="24"/>
                <w:szCs w:val="24"/>
              </w:rPr>
              <w:t xml:space="preserve">ve </w:t>
            </w:r>
            <w:r w:rsidRPr="0083058D">
              <w:rPr>
                <w:rFonts w:ascii="Times New Roman" w:hAnsi="Times New Roman" w:cs="Times New Roman"/>
                <w:sz w:val="24"/>
                <w:szCs w:val="24"/>
              </w:rPr>
              <w:t>bu kuvvet 300gf/</w:t>
            </w:r>
            <w:r w:rsidR="0083058D" w:rsidRPr="0083058D">
              <w:rPr>
                <w:rFonts w:ascii="Times New Roman" w:hAnsi="Times New Roman" w:cs="Times New Roman"/>
                <w:sz w:val="24"/>
                <w:szCs w:val="24"/>
              </w:rPr>
              <w:t>cm’den</w:t>
            </w:r>
            <w:r w:rsidRPr="0083058D">
              <w:rPr>
                <w:rFonts w:ascii="Times New Roman" w:hAnsi="Times New Roman" w:cs="Times New Roman"/>
                <w:sz w:val="24"/>
                <w:szCs w:val="24"/>
              </w:rPr>
              <w:t xml:space="preserve"> büyük olmalı</w:t>
            </w:r>
            <w:r w:rsidR="0083058D">
              <w:rPr>
                <w:rFonts w:ascii="Times New Roman" w:hAnsi="Times New Roman" w:cs="Times New Roman"/>
                <w:sz w:val="24"/>
                <w:szCs w:val="24"/>
              </w:rPr>
              <w:t>,</w:t>
            </w:r>
            <w:r w:rsidRPr="0083058D">
              <w:rPr>
                <w:rFonts w:ascii="Times New Roman" w:hAnsi="Times New Roman" w:cs="Times New Roman"/>
                <w:sz w:val="24"/>
                <w:szCs w:val="24"/>
              </w:rPr>
              <w:t xml:space="preserve"> Firmalar teklif ettikleri ürünlere ait bu özelliği orijinal doküman ile</w:t>
            </w:r>
            <w:r w:rsidR="0083058D">
              <w:rPr>
                <w:rFonts w:ascii="Times New Roman" w:hAnsi="Times New Roman" w:cs="Times New Roman"/>
                <w:sz w:val="24"/>
                <w:szCs w:val="24"/>
              </w:rPr>
              <w:t xml:space="preserve"> ispatlayabilmelidir.</w:t>
            </w:r>
          </w:p>
          <w:p w14:paraId="55C2B85B" w14:textId="0F50B587" w:rsidR="004D169A" w:rsidRPr="0083058D" w:rsidRDefault="004D169A"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 xml:space="preserve">Bandın yapışkan taşıyıcı bölümü elastik </w:t>
            </w:r>
            <w:r w:rsidR="0083058D" w:rsidRPr="0083058D">
              <w:rPr>
                <w:rFonts w:ascii="Times New Roman" w:hAnsi="Times New Roman" w:cs="Times New Roman"/>
                <w:sz w:val="24"/>
                <w:szCs w:val="24"/>
              </w:rPr>
              <w:t>yapıda olmalı</w:t>
            </w:r>
            <w:r w:rsidRPr="0083058D">
              <w:rPr>
                <w:rFonts w:ascii="Times New Roman" w:hAnsi="Times New Roman" w:cs="Times New Roman"/>
                <w:sz w:val="24"/>
                <w:szCs w:val="24"/>
              </w:rPr>
              <w:t xml:space="preserve"> ve poliüretan madde içermemelidir. Yapışkan taşıyıcı bölümün esnekliği her iki yöne minimum 1 cm olmalıdır. </w:t>
            </w:r>
          </w:p>
          <w:p w14:paraId="2A275C2B" w14:textId="6B59FDE1" w:rsidR="004D169A" w:rsidRPr="0083058D" w:rsidRDefault="0083058D" w:rsidP="0083058D">
            <w:pPr>
              <w:pStyle w:val="ListeParagraf"/>
              <w:numPr>
                <w:ilvl w:val="0"/>
                <w:numId w:val="4"/>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Ürün yapısı gereği ekstra olarak sökücü sprey, flaster, vb. sarf ürünlerin kullanım ihtiyacı oluşturmamalıdır.</w:t>
            </w:r>
          </w:p>
          <w:p w14:paraId="4307A0AF" w14:textId="6364271A" w:rsidR="004D169A" w:rsidRPr="0083058D" w:rsidRDefault="004D169A" w:rsidP="0083058D">
            <w:pPr>
              <w:pStyle w:val="ListeParagraf"/>
              <w:numPr>
                <w:ilvl w:val="0"/>
                <w:numId w:val="4"/>
              </w:numPr>
              <w:spacing w:before="120" w:after="120" w:line="360" w:lineRule="auto"/>
              <w:rPr>
                <w:rFonts w:ascii="Times New Roman" w:hAnsi="Times New Roman" w:cs="Times New Roman"/>
                <w:sz w:val="24"/>
                <w:szCs w:val="24"/>
              </w:rPr>
            </w:pPr>
            <w:r w:rsidRPr="0083058D">
              <w:rPr>
                <w:rFonts w:ascii="Times New Roman" w:hAnsi="Times New Roman" w:cs="Times New Roman"/>
                <w:sz w:val="24"/>
                <w:szCs w:val="24"/>
              </w:rPr>
              <w:t>Bandaj hipoallerjik yapıda olmalıdır</w:t>
            </w:r>
            <w:r w:rsidR="0083058D">
              <w:rPr>
                <w:rFonts w:ascii="Times New Roman" w:hAnsi="Times New Roman" w:cs="Times New Roman"/>
                <w:sz w:val="24"/>
                <w:szCs w:val="24"/>
              </w:rPr>
              <w:t>.</w:t>
            </w:r>
          </w:p>
          <w:p w14:paraId="3BBA32A2" w14:textId="77777777" w:rsidR="004D169A" w:rsidRPr="002B5CB2" w:rsidRDefault="004D169A" w:rsidP="0083058D">
            <w:pPr>
              <w:pStyle w:val="ListeParagraf"/>
              <w:spacing w:before="120" w:after="120" w:line="360" w:lineRule="auto"/>
              <w:rPr>
                <w:rFonts w:ascii="Times New Roman" w:hAnsi="Times New Roman" w:cs="Times New Roman"/>
                <w:sz w:val="24"/>
                <w:szCs w:val="24"/>
              </w:rPr>
            </w:pPr>
          </w:p>
          <w:p w14:paraId="1B15D1CB" w14:textId="4EBE7740" w:rsidR="00195FEB" w:rsidRPr="0083058D" w:rsidRDefault="00195FEB" w:rsidP="0083058D">
            <w:pPr>
              <w:spacing w:before="120" w:after="120" w:line="360" w:lineRule="auto"/>
              <w:rPr>
                <w:rFonts w:ascii="Times New Roman" w:hAnsi="Times New Roman" w:cs="Times New Roman"/>
                <w:sz w:val="24"/>
                <w:szCs w:val="24"/>
              </w:rPr>
            </w:pPr>
          </w:p>
        </w:tc>
      </w:tr>
      <w:tr w:rsidR="004B7494" w14:paraId="17A5157A" w14:textId="77777777" w:rsidTr="004B7494">
        <w:trPr>
          <w:trHeight w:val="1640"/>
        </w:trPr>
        <w:tc>
          <w:tcPr>
            <w:tcW w:w="1537" w:type="dxa"/>
          </w:tcPr>
          <w:p w14:paraId="2E7CFBBE"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0BD279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51FF6775" w14:textId="15609C24" w:rsidR="009B6631" w:rsidRPr="002B5CB2" w:rsidRDefault="002134D8" w:rsidP="002B5CB2">
            <w:pPr>
              <w:pStyle w:val="ListeParagraf"/>
              <w:numPr>
                <w:ilvl w:val="0"/>
                <w:numId w:val="2"/>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Ürün </w:t>
            </w:r>
            <w:r w:rsidR="009B6631" w:rsidRPr="002B5CB2">
              <w:rPr>
                <w:rFonts w:ascii="Times New Roman" w:hAnsi="Times New Roman" w:cs="Times New Roman"/>
                <w:sz w:val="24"/>
                <w:szCs w:val="24"/>
              </w:rPr>
              <w:t>ebatlar</w:t>
            </w:r>
            <w:r>
              <w:rPr>
                <w:rFonts w:ascii="Times New Roman" w:hAnsi="Times New Roman" w:cs="Times New Roman"/>
                <w:sz w:val="24"/>
                <w:szCs w:val="24"/>
              </w:rPr>
              <w:t>ı</w:t>
            </w:r>
            <w:r w:rsidR="009B6631" w:rsidRPr="002B5CB2">
              <w:rPr>
                <w:rFonts w:ascii="Times New Roman" w:hAnsi="Times New Roman" w:cs="Times New Roman"/>
                <w:sz w:val="24"/>
                <w:szCs w:val="24"/>
              </w:rPr>
              <w:t xml:space="preserve"> dış ve iç ambalajlarda belirtilmiş olmalıdır.</w:t>
            </w:r>
          </w:p>
          <w:p w14:paraId="3C2D8F7A" w14:textId="49C10BD7" w:rsidR="002B5CB2" w:rsidRPr="002B5CB2" w:rsidRDefault="002B5CB2" w:rsidP="002B5CB2">
            <w:pPr>
              <w:pStyle w:val="ListeParagraf"/>
              <w:numPr>
                <w:ilvl w:val="0"/>
                <w:numId w:val="2"/>
              </w:numPr>
              <w:spacing w:before="120" w:after="120" w:line="360" w:lineRule="auto"/>
              <w:rPr>
                <w:rFonts w:ascii="Times New Roman" w:hAnsi="Times New Roman" w:cs="Times New Roman"/>
                <w:sz w:val="24"/>
                <w:szCs w:val="24"/>
              </w:rPr>
            </w:pPr>
            <w:r w:rsidRPr="002B5CB2">
              <w:rPr>
                <w:rFonts w:ascii="Times New Roman" w:hAnsi="Times New Roman" w:cs="Times New Roman"/>
                <w:sz w:val="24"/>
                <w:szCs w:val="24"/>
              </w:rPr>
              <w:t xml:space="preserve"> Raf ömrü en az 2 yıl olmalı</w:t>
            </w:r>
            <w:r w:rsidR="00952E4C">
              <w:rPr>
                <w:rFonts w:ascii="Times New Roman" w:hAnsi="Times New Roman" w:cs="Times New Roman"/>
                <w:sz w:val="24"/>
                <w:szCs w:val="24"/>
              </w:rPr>
              <w:t>,</w:t>
            </w:r>
            <w:r w:rsidRPr="002B5CB2">
              <w:rPr>
                <w:rFonts w:ascii="Times New Roman" w:hAnsi="Times New Roman" w:cs="Times New Roman"/>
                <w:sz w:val="24"/>
                <w:szCs w:val="24"/>
              </w:rPr>
              <w:t xml:space="preserve"> bu süre içinde yapışkanlığını kaybetmemeli, 2 yıl içinde yapışma özelliğini kaybeden ürünle</w:t>
            </w:r>
            <w:r w:rsidR="00952E4C">
              <w:rPr>
                <w:rFonts w:ascii="Times New Roman" w:hAnsi="Times New Roman" w:cs="Times New Roman"/>
                <w:sz w:val="24"/>
                <w:szCs w:val="24"/>
              </w:rPr>
              <w:t>r firma tarafından değiştiril</w:t>
            </w:r>
            <w:r w:rsidR="002134D8">
              <w:rPr>
                <w:rFonts w:ascii="Times New Roman" w:hAnsi="Times New Roman" w:cs="Times New Roman"/>
                <w:sz w:val="24"/>
                <w:szCs w:val="24"/>
              </w:rPr>
              <w:t>melidir.</w:t>
            </w:r>
          </w:p>
          <w:p w14:paraId="0F6C72D0" w14:textId="77777777" w:rsidR="00195FEB" w:rsidRPr="002B5CB2" w:rsidRDefault="002B5CB2" w:rsidP="002B5CB2">
            <w:pPr>
              <w:pStyle w:val="ListeParagraf"/>
              <w:numPr>
                <w:ilvl w:val="0"/>
                <w:numId w:val="2"/>
              </w:numPr>
              <w:spacing w:before="120" w:after="120" w:line="360" w:lineRule="auto"/>
              <w:rPr>
                <w:rFonts w:ascii="Times New Roman" w:hAnsi="Times New Roman" w:cs="Times New Roman"/>
                <w:sz w:val="24"/>
                <w:szCs w:val="24"/>
              </w:rPr>
            </w:pPr>
            <w:r w:rsidRPr="002B5CB2">
              <w:rPr>
                <w:rFonts w:ascii="Times New Roman" w:hAnsi="Times New Roman" w:cs="Times New Roman"/>
                <w:sz w:val="24"/>
                <w:szCs w:val="24"/>
              </w:rPr>
              <w:t>Ürün Tıbbi Cihaz Yönetmelikleri kapsamında, T.C İlaç ve Tıbbi Cihaz Ulusal Bilgi Bankasına (TİTUBB) kayıtlı olması şartı aranacaktır</w:t>
            </w:r>
          </w:p>
          <w:p w14:paraId="4E7D60B7" w14:textId="04EC2489" w:rsidR="002B5CB2" w:rsidRDefault="002B5CB2" w:rsidP="002B5CB2">
            <w:pPr>
              <w:pStyle w:val="ListeParagraf"/>
              <w:numPr>
                <w:ilvl w:val="0"/>
                <w:numId w:val="2"/>
              </w:numPr>
              <w:autoSpaceDE w:val="0"/>
              <w:autoSpaceDN w:val="0"/>
              <w:adjustRightInd w:val="0"/>
              <w:spacing w:before="120" w:after="120" w:line="360" w:lineRule="auto"/>
              <w:rPr>
                <w:rFonts w:ascii="Times New Roman" w:hAnsi="Times New Roman" w:cs="Times New Roman"/>
                <w:color w:val="000000"/>
                <w:sz w:val="24"/>
                <w:szCs w:val="24"/>
              </w:rPr>
            </w:pPr>
            <w:r w:rsidRPr="002B5CB2">
              <w:rPr>
                <w:rFonts w:ascii="Times New Roman" w:hAnsi="Times New Roman" w:cs="Times New Roman"/>
                <w:color w:val="000000"/>
                <w:sz w:val="24"/>
                <w:szCs w:val="24"/>
              </w:rPr>
              <w:t>Ürünün kabulünde ürün üzerinde Tıbbi Cihaz Yönetmeliği'ne uygun olarak alınmış, CE belgesine istinaden CE işareti mutlaka belirtilmiş olmalıdır. CE işareti taşımadığı için ürün kabulü yapılamayan üründen doğacak zararlar firmaya ait olacaktır.</w:t>
            </w:r>
          </w:p>
          <w:p w14:paraId="72424547" w14:textId="247CFC39" w:rsidR="00952E4C" w:rsidRPr="002B5CB2" w:rsidRDefault="00952E4C" w:rsidP="002B5CB2">
            <w:pPr>
              <w:pStyle w:val="ListeParagraf"/>
              <w:numPr>
                <w:ilvl w:val="0"/>
                <w:numId w:val="2"/>
              </w:numPr>
              <w:autoSpaceDE w:val="0"/>
              <w:autoSpaceDN w:val="0"/>
              <w:adjustRightInd w:val="0"/>
              <w:spacing w:before="120"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Ürün </w:t>
            </w:r>
            <w:proofErr w:type="gramStart"/>
            <w:r>
              <w:rPr>
                <w:rFonts w:ascii="Times New Roman" w:hAnsi="Times New Roman" w:cs="Times New Roman"/>
                <w:color w:val="000000"/>
                <w:sz w:val="24"/>
                <w:szCs w:val="24"/>
              </w:rPr>
              <w:t>steril</w:t>
            </w:r>
            <w:proofErr w:type="gramEnd"/>
            <w:r>
              <w:rPr>
                <w:rFonts w:ascii="Times New Roman" w:hAnsi="Times New Roman" w:cs="Times New Roman"/>
                <w:color w:val="000000"/>
                <w:sz w:val="24"/>
                <w:szCs w:val="24"/>
              </w:rPr>
              <w:t xml:space="preserve"> pakette teslim edilmelidir.</w:t>
            </w:r>
            <w:bookmarkStart w:id="0" w:name="_GoBack"/>
            <w:bookmarkEnd w:id="0"/>
          </w:p>
          <w:p w14:paraId="3AF42D70" w14:textId="77777777" w:rsidR="002B5CB2" w:rsidRPr="002B5CB2" w:rsidRDefault="002B5CB2" w:rsidP="002B5CB2">
            <w:pPr>
              <w:pStyle w:val="ListeParagraf"/>
              <w:spacing w:before="120" w:after="120" w:line="360" w:lineRule="auto"/>
              <w:rPr>
                <w:rFonts w:ascii="Times New Roman" w:hAnsi="Times New Roman" w:cs="Times New Roman"/>
                <w:sz w:val="24"/>
                <w:szCs w:val="24"/>
              </w:rPr>
            </w:pPr>
          </w:p>
          <w:p w14:paraId="1B153529" w14:textId="21247A16" w:rsidR="002B5CB2" w:rsidRPr="002B5CB2" w:rsidRDefault="002B5CB2" w:rsidP="002B5CB2">
            <w:pPr>
              <w:pStyle w:val="ListeParagraf"/>
              <w:spacing w:before="120" w:after="120" w:line="360" w:lineRule="auto"/>
              <w:ind w:left="360"/>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9DAA" w14:textId="77777777" w:rsidR="00683B92" w:rsidRDefault="00683B92" w:rsidP="002134D8">
      <w:pPr>
        <w:spacing w:after="0" w:line="240" w:lineRule="auto"/>
      </w:pPr>
      <w:r>
        <w:separator/>
      </w:r>
    </w:p>
  </w:endnote>
  <w:endnote w:type="continuationSeparator" w:id="0">
    <w:p w14:paraId="798A452C" w14:textId="77777777" w:rsidR="00683B92" w:rsidRDefault="00683B92" w:rsidP="0021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88CB" w14:textId="77777777" w:rsidR="002134D8" w:rsidRDefault="002134D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9FAA" w14:textId="77777777" w:rsidR="002134D8" w:rsidRDefault="002134D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A27E" w14:textId="77777777" w:rsidR="002134D8" w:rsidRDefault="002134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C512" w14:textId="77777777" w:rsidR="00683B92" w:rsidRDefault="00683B92" w:rsidP="002134D8">
      <w:pPr>
        <w:spacing w:after="0" w:line="240" w:lineRule="auto"/>
      </w:pPr>
      <w:r>
        <w:separator/>
      </w:r>
    </w:p>
  </w:footnote>
  <w:footnote w:type="continuationSeparator" w:id="0">
    <w:p w14:paraId="490CC6C5" w14:textId="77777777" w:rsidR="00683B92" w:rsidRDefault="00683B92" w:rsidP="0021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6416" w14:textId="77777777" w:rsidR="002134D8" w:rsidRDefault="002134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19AF" w14:textId="6F3753DB" w:rsidR="002134D8" w:rsidRPr="002134D8" w:rsidRDefault="002134D8">
    <w:pPr>
      <w:pStyle w:val="stBilgi"/>
      <w:rPr>
        <w:rFonts w:ascii="Times New Roman" w:hAnsi="Times New Roman" w:cs="Times New Roman"/>
        <w:b/>
        <w:bCs/>
        <w:sz w:val="24"/>
        <w:szCs w:val="24"/>
        <w:u w:val="single"/>
      </w:rPr>
    </w:pPr>
    <w:r w:rsidRPr="002134D8">
      <w:rPr>
        <w:rFonts w:ascii="Times New Roman" w:hAnsi="Times New Roman" w:cs="Times New Roman"/>
        <w:b/>
        <w:bCs/>
        <w:sz w:val="24"/>
        <w:szCs w:val="24"/>
        <w:u w:val="single"/>
      </w:rPr>
      <w:t>SMT4141 HEMOSTATİK BASI BANDI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A661" w14:textId="77777777" w:rsidR="002134D8" w:rsidRDefault="002134D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742448D"/>
    <w:multiLevelType w:val="hybridMultilevel"/>
    <w:tmpl w:val="23A031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A0EE0"/>
    <w:multiLevelType w:val="hybridMultilevel"/>
    <w:tmpl w:val="8E501646"/>
    <w:lvl w:ilvl="0" w:tplc="9EB8A6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4E"/>
    <w:rsid w:val="000C5200"/>
    <w:rsid w:val="000D04A5"/>
    <w:rsid w:val="00104579"/>
    <w:rsid w:val="00195FEB"/>
    <w:rsid w:val="001E0B27"/>
    <w:rsid w:val="002134D8"/>
    <w:rsid w:val="002618E3"/>
    <w:rsid w:val="002B5CB2"/>
    <w:rsid w:val="002B66F4"/>
    <w:rsid w:val="002D680D"/>
    <w:rsid w:val="002F68A9"/>
    <w:rsid w:val="00331203"/>
    <w:rsid w:val="0035761B"/>
    <w:rsid w:val="003D2495"/>
    <w:rsid w:val="00491779"/>
    <w:rsid w:val="004B7494"/>
    <w:rsid w:val="004D169A"/>
    <w:rsid w:val="00683B92"/>
    <w:rsid w:val="00791E80"/>
    <w:rsid w:val="0083058D"/>
    <w:rsid w:val="00936492"/>
    <w:rsid w:val="00952E4C"/>
    <w:rsid w:val="009B6631"/>
    <w:rsid w:val="00A0594E"/>
    <w:rsid w:val="00A76582"/>
    <w:rsid w:val="00BA3150"/>
    <w:rsid w:val="00BD6076"/>
    <w:rsid w:val="00BF4EE4"/>
    <w:rsid w:val="00BF5AAE"/>
    <w:rsid w:val="00CD3680"/>
    <w:rsid w:val="00E51DCF"/>
    <w:rsid w:val="00ED3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2134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4D8"/>
  </w:style>
  <w:style w:type="paragraph" w:styleId="AltBilgi">
    <w:name w:val="footer"/>
    <w:basedOn w:val="Normal"/>
    <w:link w:val="AltBilgiChar"/>
    <w:uiPriority w:val="99"/>
    <w:unhideWhenUsed/>
    <w:rsid w:val="002134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A3A4-78B2-473C-A09F-269B8882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dcterms:created xsi:type="dcterms:W3CDTF">2022-08-12T11:23:00Z</dcterms:created>
  <dcterms:modified xsi:type="dcterms:W3CDTF">2022-08-12T11:23:00Z</dcterms:modified>
</cp:coreProperties>
</file>